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80" w:before="0"/>
        <w:jc w:val="center"/>
      </w:pPr>
      <w:r>
        <w:drawing>
          <wp:inline distT="0" distB="0" distL="0" distR="0">
            <wp:extent cx="85725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857250" cy="857250"/>
                    </a:xfrm>
                    <a:prstGeom prst="rect">
                      <a:avLst/>
                    </a:prstGeom>
                  </pic:spPr>
                </pic:pic>
              </a:graphicData>
            </a:graphic>
          </wp:inline>
        </w:drawing>
      </w:r>
    </w:p>
    <w:p>
      <w:pPr>
        <w:spacing w:after="60" w:before="0"/>
        <w:jc w:val="center"/>
      </w:pPr>
      <w:r>
        <w:rPr>
          <w:rFonts w:ascii="Georgia" w:cs="Georgia" w:eastAsia="Georgia" w:hAnsi="Georgia"/>
          <w:b/>
          <w:bCs/>
          <w:color w:val="0D1B3E"/>
          <w:sz w:val="48"/>
          <w:szCs w:val="48"/>
        </w:rPr>
        <w:t xml:space="preserve">ASHOKA NEXTGEN LEADERS</w:t>
      </w:r>
    </w:p>
    <w:p>
      <w:pPr>
        <w:pBdr>
          <w:bottom w:val="single" w:color="B0B8C8" w:sz="4" w:space="4"/>
        </w:pBdr>
        <w:spacing w:after="300" w:before="0"/>
        <w:jc w:val="center"/>
      </w:pPr>
      <w:r>
        <w:rPr>
          <w:rFonts w:ascii="Georgia" w:cs="Georgia" w:eastAsia="Georgia" w:hAnsi="Georgia"/>
          <w:i/>
          <w:iCs/>
          <w:color w:val="8A9BB5"/>
          <w:sz w:val="22"/>
          <w:szCs w:val="22"/>
        </w:rPr>
        <w:t xml:space="preserve">Where Legacy Meets Critical Thinking</w:t>
      </w:r>
    </w:p>
    <w:p>
      <w:pPr>
        <w:spacing w:after="0" w:before="220"/>
      </w:pPr>
      <w:r>
        <w:t xml:space="preserve"/>
      </w:r>
    </w:p>
    <w:p>
      <w:pPr>
        <w:spacing w:after="60" w:before="0"/>
        <w:jc w:val="center"/>
      </w:pPr>
      <w:r>
        <w:rPr>
          <w:rFonts w:ascii="Georgia" w:cs="Georgia" w:eastAsia="Georgia" w:hAnsi="Georgia"/>
          <w:b/>
          <w:bCs/>
          <w:color w:val="0D1B3E"/>
          <w:sz w:val="32"/>
          <w:szCs w:val="32"/>
        </w:rPr>
        <w:t xml:space="preserve">YEAR 1 BUDGET PLAN</w:t>
      </w:r>
    </w:p>
    <w:p>
      <w:pPr>
        <w:spacing w:after="60" w:before="0"/>
        <w:jc w:val="center"/>
      </w:pPr>
      <w:r>
        <w:rPr>
          <w:rFonts w:ascii="Arial" w:cs="Arial" w:eastAsia="Arial" w:hAnsi="Arial"/>
          <w:i/>
          <w:iCs/>
          <w:color w:val="8A9BB5"/>
          <w:sz w:val="21"/>
          <w:szCs w:val="21"/>
        </w:rPr>
        <w:t xml:space="preserve">Academic Year 2026–27  ·  Financial Year July 2026 – June 2027</w:t>
      </w:r>
    </w:p>
    <w:p>
      <w:pPr>
        <w:spacing w:after="40" w:before="0"/>
        <w:jc w:val="center"/>
      </w:pPr>
      <w:r>
        <w:rPr>
          <w:rFonts w:ascii="Arial" w:cs="Arial" w:eastAsia="Arial" w:hAnsi="Arial"/>
          <w:color w:val="1A1A2E"/>
          <w:sz w:val="20"/>
          <w:szCs w:val="20"/>
        </w:rPr>
        <w:t xml:space="preserve">Submitted to: Student Life Office, Ashoka University</w:t>
      </w:r>
    </w:p>
    <w:p>
      <w:pPr>
        <w:spacing w:after="0" w:before="0"/>
        <w:jc w:val="center"/>
      </w:pPr>
      <w:r>
        <w:rPr>
          <w:rFonts w:ascii="Arial" w:cs="Arial" w:eastAsia="Arial" w:hAnsi="Arial"/>
          <w:color w:val="1A1A2E"/>
          <w:sz w:val="20"/>
          <w:szCs w:val="20"/>
        </w:rPr>
        <w:t xml:space="preserve">Prepared by: Suryansh Dalmia &amp; Madhav Wadhwani  ·  April 2026</w:t>
      </w:r>
    </w:p>
    <w:p>
      <w:pPr>
        <w:spacing w:after="0" w:before="200"/>
      </w:pPr>
      <w:r>
        <w:t xml:space="preserve"/>
      </w: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9060"/>
      </w:tblGrid>
      <w:tr>
        <w:tc>
          <w:tcPr>
            <w:tcW w:type="dxa" w:w="9060"/>
            <w:tcBorders>
              <w:top w:val="single" w:color="0D1B3E" w:sz="4"/>
              <w:left w:val="single" w:color="0D1B3E" w:sz="4"/>
              <w:bottom w:val="single" w:color="0D1B3E" w:sz="4"/>
              <w:right w:val="single" w:color="0D1B3E" w:sz="4"/>
            </w:tcBorders>
            <w:shd w:fill="E8ECF2" w:val="clear"/>
            <w:tcMar>
              <w:top w:type="dxa" w:w="160"/>
              <w:left w:type="dxa" w:w="260"/>
              <w:bottom w:type="dxa" w:w="160"/>
              <w:right w:type="dxa" w:w="260"/>
            </w:tcMar>
          </w:tcPr>
          <w:p>
            <w:pPr>
              <w:spacing w:after="80" w:before="0"/>
            </w:pPr>
            <w:r>
              <w:rPr>
                <w:rFonts w:ascii="Georgia" w:cs="Georgia" w:eastAsia="Georgia" w:hAnsi="Georgia"/>
                <w:b/>
                <w:bCs/>
                <w:color w:val="0D1B3E"/>
                <w:sz w:val="21"/>
                <w:szCs w:val="21"/>
              </w:rPr>
              <w:t xml:space="preserve">Funding Model</w:t>
            </w:r>
          </w:p>
          <w:p>
            <w:pPr>
              <w:spacing w:after="50" w:before="0"/>
            </w:pPr>
            <w:r>
              <w:rPr>
                <w:rFonts w:ascii="Arial" w:cs="Arial" w:eastAsia="Arial" w:hAnsi="Arial"/>
                <w:i w:val="false"/>
                <w:iCs w:val="false"/>
                <w:color w:val="1A1A2E"/>
                <w:sz w:val="19"/>
                <w:szCs w:val="19"/>
              </w:rPr>
              <w:t xml:space="preserve">The Ashoka NextGen Leaders club is fully self-funded. It makes no funding request of the Student Life Office and will not draw on university seed capital. All income will be raised through voluntary member contributions, approved external sponsorships, and approved institutional partnerships. Every sponsorship arrangement is subject to prior written SLO approval and a conflict-of-interest review in accordance with the club's charter.</w:t>
            </w:r>
          </w:p>
          <w:p>
            <w:pPr>
              <w:spacing w:after="0" w:before="0"/>
            </w:pPr>
            <w:r>
              <w:rPr>
                <w:rFonts w:ascii="Arial" w:cs="Arial" w:eastAsia="Arial" w:hAnsi="Arial"/>
                <w:i/>
                <w:iCs/>
                <w:color w:val="8A9BB5"/>
                <w:sz w:val="19"/>
                <w:szCs w:val="19"/>
              </w:rPr>
              <w:t xml:space="preserve">No expenditure will be made without prior written approval from the Student Life Office. All figures below are projections and will be revised as actual costs are confirmed.</w:t>
            </w:r>
          </w:p>
        </w:tc>
      </w:tr>
    </w:tbl>
    <w:p>
      <w:pPr>
        <w:spacing w:after="0" w:before="200"/>
      </w:pPr>
      <w:r>
        <w:t xml:space="preserve"/>
      </w:r>
    </w:p>
    <w:p>
      <w:pPr>
        <w:spacing w:after="60" w:before="300"/>
      </w:pPr>
      <w:r>
        <w:rPr>
          <w:rFonts w:ascii="Georgia" w:cs="Georgia" w:eastAsia="Georgia" w:hAnsi="Georgia"/>
          <w:color w:val="B0B8C8"/>
          <w:sz w:val="24"/>
          <w:szCs w:val="24"/>
        </w:rPr>
        <w:t xml:space="preserve">01  </w:t>
      </w:r>
      <w:r>
        <w:rPr>
          <w:rFonts w:ascii="Georgia" w:cs="Georgia" w:eastAsia="Georgia" w:hAnsi="Georgia"/>
          <w:b/>
          <w:bCs/>
          <w:color w:val="0D1B3E"/>
          <w:sz w:val="27"/>
          <w:szCs w:val="27"/>
        </w:rPr>
        <w:t xml:space="preserve">Budget Summary</w:t>
      </w:r>
    </w:p>
    <w:p>
      <w:pPr>
        <w:pBdr>
          <w:bottom w:val="single" w:color="0D1B3E" w:sz="6" w:space="1"/>
        </w:pBdr>
        <w:spacing w:after="140" w:before="40"/>
      </w:pPr>
    </w:p>
    <w:p>
      <w:pPr>
        <w:spacing w:after="0" w:before="60"/>
      </w:pPr>
      <w:r>
        <w:t xml:space="preserve"/>
      </w: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3200"/>
        <w:gridCol w:w="2200"/>
        <w:gridCol w:w="2460"/>
        <w:gridCol w:w="1200"/>
      </w:tblGrid>
      <w:tr>
        <w:tc>
          <w:tcPr>
            <w:tcW w:type="dxa" w:w="3200"/>
            <w:tcBorders>
              <w:top w:val="single" w:color="B0B8C8" w:sz="4"/>
              <w:left w:val="single" w:color="B0B8C8" w:sz="4"/>
              <w:bottom w:val="single" w:color="B0B8C8" w:sz="4"/>
              <w:right w:val="single" w:color="B0B8C8" w:sz="4"/>
            </w:tcBorders>
            <w:shd w:fill="EAF4EA" w:val="clear"/>
            <w:tcMar>
              <w:top w:type="dxa" w:w="110"/>
              <w:left w:type="dxa" w:w="160"/>
              <w:bottom w:type="dxa" w:w="110"/>
              <w:right w:type="dxa" w:w="160"/>
            </w:tcMar>
          </w:tcPr>
          <w:p>
            <w:pPr>
              <w:spacing w:after="0" w:before="0"/>
            </w:pPr>
            <w:r>
              <w:rPr>
                <w:rFonts w:ascii="Georgia" w:cs="Georgia" w:eastAsia="Georgia" w:hAnsi="Georgia"/>
                <w:b/>
                <w:bCs/>
                <w:color w:val="0D1B3E"/>
                <w:sz w:val="21"/>
                <w:szCs w:val="21"/>
              </w:rPr>
              <w:t xml:space="preserve">Total Projected Income</w:t>
            </w:r>
          </w:p>
        </w:tc>
        <w:tc>
          <w:tcPr>
            <w:tcW w:type="dxa" w:w="2200"/>
            <w:tcBorders>
              <w:top w:val="single" w:color="B0B8C8" w:sz="4"/>
              <w:left w:val="single" w:color="B0B8C8" w:sz="4"/>
              <w:bottom w:val="single" w:color="B0B8C8" w:sz="4"/>
              <w:right w:val="single" w:color="B0B8C8" w:sz="4"/>
            </w:tcBorders>
            <w:shd w:fill="EAF4EA" w:val="clear"/>
            <w:tcMar>
              <w:top w:type="dxa" w:w="110"/>
              <w:left w:type="dxa" w:w="160"/>
              <w:bottom w:type="dxa" w:w="110"/>
              <w:right w:type="dxa" w:w="160"/>
            </w:tcMar>
          </w:tcPr>
          <w:p>
            <w:pPr>
              <w:spacing w:after="0" w:before="0"/>
              <w:jc w:val="right"/>
            </w:pPr>
            <w:r>
              <w:rPr>
                <w:rFonts w:ascii="Georgia" w:cs="Georgia" w:eastAsia="Georgia" w:hAnsi="Georgia"/>
                <w:b/>
                <w:bCs/>
                <w:color w:val="1A5C1A"/>
                <w:sz w:val="22"/>
                <w:szCs w:val="22"/>
              </w:rPr>
              <w:t xml:space="preserve">INR 79,000</w:t>
            </w:r>
          </w:p>
        </w:tc>
        <w:tc>
          <w:tcPr>
            <w:tcW w:type="dxa" w:w="3660"/>
            <w:tcBorders>
              <w:top w:val="single" w:color="B0B8C8" w:sz="4"/>
              <w:left w:val="single" w:color="B0B8C8" w:sz="4"/>
              <w:bottom w:val="single" w:color="B0B8C8" w:sz="4"/>
              <w:right w:val="single" w:color="B0B8C8" w:sz="4"/>
            </w:tcBorders>
            <w:shd w:fill="EAF4EA" w:val="clear"/>
            <w:tcMar>
              <w:top w:type="dxa" w:w="110"/>
              <w:left w:type="dxa" w:w="160"/>
              <w:bottom w:type="dxa" w:w="110"/>
              <w:right w:type="dxa" w:w="160"/>
            </w:tcMar>
          </w:tcPr>
          <w:p>
            <w:pPr>
              <w:spacing w:after="0" w:before="0"/>
            </w:pPr>
            <w:r>
              <w:rPr>
                <w:rFonts w:ascii="Arial" w:cs="Arial" w:eastAsia="Arial" w:hAnsi="Arial"/>
                <w:i/>
                <w:iCs/>
                <w:color w:val="8A9BB5"/>
                <w:sz w:val="19"/>
                <w:szCs w:val="19"/>
              </w:rPr>
              <w:t xml:space="preserve">(cash + estimated in-kind)</w:t>
            </w:r>
          </w:p>
        </w:tc>
      </w:tr>
      <w:tr>
        <w:tc>
          <w:tcPr>
            <w:tcW w:type="dxa" w:w="3200"/>
            <w:tcBorders>
              <w:top w:val="single" w:color="B0B8C8" w:sz="4"/>
              <w:left w:val="single" w:color="B0B8C8" w:sz="4"/>
              <w:bottom w:val="single" w:color="B0B8C8" w:sz="4"/>
              <w:right w:val="single" w:color="B0B8C8" w:sz="4"/>
            </w:tcBorders>
            <w:shd w:fill="FDECEA" w:val="clear"/>
            <w:tcMar>
              <w:top w:type="dxa" w:w="110"/>
              <w:left w:type="dxa" w:w="160"/>
              <w:bottom w:type="dxa" w:w="110"/>
              <w:right w:type="dxa" w:w="160"/>
            </w:tcMar>
          </w:tcPr>
          <w:p>
            <w:pPr>
              <w:spacing w:after="0" w:before="0"/>
            </w:pPr>
            <w:r>
              <w:rPr>
                <w:rFonts w:ascii="Georgia" w:cs="Georgia" w:eastAsia="Georgia" w:hAnsi="Georgia"/>
                <w:b/>
                <w:bCs/>
                <w:color w:val="0D1B3E"/>
                <w:sz w:val="21"/>
                <w:szCs w:val="21"/>
              </w:rPr>
              <w:t xml:space="preserve">Total Projected Expenditure</w:t>
            </w:r>
          </w:p>
        </w:tc>
        <w:tc>
          <w:tcPr>
            <w:tcW w:type="dxa" w:w="2200"/>
            <w:tcBorders>
              <w:top w:val="single" w:color="B0B8C8" w:sz="4"/>
              <w:left w:val="single" w:color="B0B8C8" w:sz="4"/>
              <w:bottom w:val="single" w:color="B0B8C8" w:sz="4"/>
              <w:right w:val="single" w:color="B0B8C8" w:sz="4"/>
            </w:tcBorders>
            <w:shd w:fill="FDECEA" w:val="clear"/>
            <w:tcMar>
              <w:top w:type="dxa" w:w="110"/>
              <w:left w:type="dxa" w:w="160"/>
              <w:bottom w:type="dxa" w:w="110"/>
              <w:right w:type="dxa" w:w="160"/>
            </w:tcMar>
          </w:tcPr>
          <w:p>
            <w:pPr>
              <w:spacing w:after="0" w:before="0"/>
              <w:jc w:val="right"/>
            </w:pPr>
            <w:r>
              <w:rPr>
                <w:rFonts w:ascii="Georgia" w:cs="Georgia" w:eastAsia="Georgia" w:hAnsi="Georgia"/>
                <w:b/>
                <w:bCs/>
                <w:color w:val="8B1A1A"/>
                <w:sz w:val="22"/>
                <w:szCs w:val="22"/>
              </w:rPr>
              <w:t xml:space="preserve">INR 62,900</w:t>
            </w:r>
          </w:p>
        </w:tc>
        <w:tc>
          <w:tcPr>
            <w:tcW w:type="dxa" w:w="3660"/>
            <w:tcBorders>
              <w:top w:val="single" w:color="B0B8C8" w:sz="4"/>
              <w:left w:val="single" w:color="B0B8C8" w:sz="4"/>
              <w:bottom w:val="single" w:color="B0B8C8" w:sz="4"/>
              <w:right w:val="single" w:color="B0B8C8" w:sz="4"/>
            </w:tcBorders>
            <w:shd w:fill="FDECEA" w:val="clear"/>
            <w:tcMar>
              <w:top w:type="dxa" w:w="110"/>
              <w:left w:type="dxa" w:w="160"/>
              <w:bottom w:type="dxa" w:w="110"/>
              <w:right w:type="dxa" w:w="160"/>
            </w:tcMar>
          </w:tcPr>
          <w:p>
            <w:pPr>
              <w:spacing w:after="0" w:before="0"/>
            </w:pPr>
            <w:r>
              <w:rPr>
                <w:rFonts w:ascii="Arial" w:cs="Arial" w:eastAsia="Arial" w:hAnsi="Arial"/>
                <w:i/>
                <w:iCs/>
                <w:color w:val="8A9BB5"/>
                <w:sz w:val="19"/>
                <w:szCs w:val="19"/>
              </w:rPr>
              <w:t xml:space="preserve">(across all categories incl. contingency)</w:t>
            </w:r>
          </w:p>
        </w:tc>
      </w:tr>
      <w:tr>
        <w:tc>
          <w:tcPr>
            <w:tcW w:type="dxa" w:w="3200"/>
            <w:tcBorders>
              <w:top w:val="single" w:color="B0B8C8" w:sz="4"/>
              <w:left w:val="single" w:color="B0B8C8" w:sz="4"/>
              <w:bottom w:val="single" w:color="B0B8C8" w:sz="4"/>
              <w:right w:val="single" w:color="B0B8C8" w:sz="4"/>
            </w:tcBorders>
            <w:shd w:fill="E8ECF2" w:val="clear"/>
            <w:tcMar>
              <w:top w:type="dxa" w:w="110"/>
              <w:left w:type="dxa" w:w="160"/>
              <w:bottom w:type="dxa" w:w="110"/>
              <w:right w:type="dxa" w:w="160"/>
            </w:tcMar>
          </w:tcPr>
          <w:p>
            <w:pPr>
              <w:spacing w:after="0" w:before="0"/>
            </w:pPr>
            <w:r>
              <w:rPr>
                <w:rFonts w:ascii="Georgia" w:cs="Georgia" w:eastAsia="Georgia" w:hAnsi="Georgia"/>
                <w:b/>
                <w:bCs/>
                <w:color w:val="0D1B3E"/>
                <w:sz w:val="21"/>
                <w:szCs w:val="21"/>
              </w:rPr>
              <w:t xml:space="preserve">Projected Year 1 Surplus</w:t>
            </w:r>
          </w:p>
        </w:tc>
        <w:tc>
          <w:tcPr>
            <w:tcW w:type="dxa" w:w="2200"/>
            <w:tcBorders>
              <w:top w:val="single" w:color="B0B8C8" w:sz="4"/>
              <w:left w:val="single" w:color="B0B8C8" w:sz="4"/>
              <w:bottom w:val="single" w:color="B0B8C8" w:sz="4"/>
              <w:right w:val="single" w:color="B0B8C8" w:sz="4"/>
            </w:tcBorders>
            <w:shd w:fill="E8ECF2" w:val="clear"/>
            <w:tcMar>
              <w:top w:type="dxa" w:w="110"/>
              <w:left w:type="dxa" w:w="160"/>
              <w:bottom w:type="dxa" w:w="110"/>
              <w:right w:type="dxa" w:w="160"/>
            </w:tcMar>
          </w:tcPr>
          <w:p>
            <w:pPr>
              <w:spacing w:after="0" w:before="0"/>
              <w:jc w:val="right"/>
            </w:pPr>
            <w:r>
              <w:rPr>
                <w:rFonts w:ascii="Georgia" w:cs="Georgia" w:eastAsia="Georgia" w:hAnsi="Georgia"/>
                <w:b/>
                <w:bCs/>
                <w:color w:val="0D1B3E"/>
                <w:sz w:val="22"/>
                <w:szCs w:val="22"/>
              </w:rPr>
              <w:t xml:space="preserve">INR 16,100</w:t>
            </w:r>
          </w:p>
        </w:tc>
        <w:tc>
          <w:tcPr>
            <w:tcW w:type="dxa" w:w="3660"/>
            <w:tcBorders>
              <w:top w:val="single" w:color="B0B8C8" w:sz="4"/>
              <w:left w:val="single" w:color="B0B8C8" w:sz="4"/>
              <w:bottom w:val="single" w:color="B0B8C8" w:sz="4"/>
              <w:right w:val="single" w:color="B0B8C8" w:sz="4"/>
            </w:tcBorders>
            <w:shd w:fill="E8ECF2" w:val="clear"/>
            <w:tcMar>
              <w:top w:type="dxa" w:w="110"/>
              <w:left w:type="dxa" w:w="160"/>
              <w:bottom w:type="dxa" w:w="110"/>
              <w:right w:type="dxa" w:w="160"/>
            </w:tcMar>
          </w:tcPr>
          <w:p>
            <w:pPr>
              <w:spacing w:after="0" w:before="0"/>
            </w:pPr>
            <w:r>
              <w:rPr>
                <w:rFonts w:ascii="Arial" w:cs="Arial" w:eastAsia="Arial" w:hAnsi="Arial"/>
                <w:i/>
                <w:iCs/>
                <w:color w:val="8A9BB5"/>
                <w:sz w:val="19"/>
                <w:szCs w:val="19"/>
              </w:rPr>
              <w:t xml:space="preserve">(held in reserve for Year 2 launch costs)</w:t>
            </w:r>
          </w:p>
        </w:tc>
      </w:tr>
    </w:tbl>
    <w:p>
      <w:pPr>
        <w:spacing w:after="0" w:before="180"/>
      </w:pPr>
      <w:r>
        <w:t xml:space="preserve"/>
      </w:r>
    </w:p>
    <w:p>
      <w:pPr>
        <w:spacing w:after="60" w:before="300"/>
      </w:pPr>
      <w:r>
        <w:rPr>
          <w:rFonts w:ascii="Georgia" w:cs="Georgia" w:eastAsia="Georgia" w:hAnsi="Georgia"/>
          <w:color w:val="B0B8C8"/>
          <w:sz w:val="24"/>
          <w:szCs w:val="24"/>
        </w:rPr>
        <w:t xml:space="preserve">02  </w:t>
      </w:r>
      <w:r>
        <w:rPr>
          <w:rFonts w:ascii="Georgia" w:cs="Georgia" w:eastAsia="Georgia" w:hAnsi="Georgia"/>
          <w:b/>
          <w:bCs/>
          <w:color w:val="0D1B3E"/>
          <w:sz w:val="27"/>
          <w:szCs w:val="27"/>
        </w:rPr>
        <w:t xml:space="preserve">Projected Income</w:t>
      </w:r>
    </w:p>
    <w:p>
      <w:pPr>
        <w:pBdr>
          <w:bottom w:val="single" w:color="0D1B3E" w:sz="6" w:space="1"/>
        </w:pBdr>
        <w:spacing w:after="140" w:before="40"/>
      </w:pPr>
    </w:p>
    <w:p>
      <w:pPr>
        <w:spacing w:after="80" w:before="60"/>
        <w:jc w:val="both"/>
      </w:pPr>
      <w:r>
        <w:rPr>
          <w:rFonts w:ascii="Arial" w:cs="Arial" w:eastAsia="Arial" w:hAnsi="Arial"/>
          <w:color w:val="1A1A2E"/>
          <w:sz w:val="21"/>
          <w:szCs w:val="21"/>
        </w:rPr>
        <w:t xml:space="preserve">All sponsorships and partnerships listed below are subject to prior written approval from the Student Life Office and a full conflict-of-interest review. No agreement will be signed or commitment made without SLO clearance.</w:t>
      </w:r>
    </w:p>
    <w:p>
      <w:pPr>
        <w:spacing w:after="0" w:before="80"/>
      </w:pPr>
      <w:r>
        <w:t xml:space="preserve"/>
      </w: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1800"/>
        <w:gridCol w:w="3400"/>
        <w:gridCol w:w="1100"/>
        <w:gridCol w:w="1100"/>
        <w:gridCol w:w="1660"/>
      </w:tblGrid>
      <w:tr>
        <w:tc>
          <w:tcPr>
            <w:tcW w:type="dxa" w:w="1800"/>
            <w:tcBorders>
              <w:top w:val="single" w:color="B0B8C8" w:sz="4"/>
              <w:left w:val="single" w:color="B0B8C8" w:sz="4"/>
              <w:bottom w:val="single" w:color="B0B8C8" w:sz="4"/>
              <w:right w:val="single" w:color="B0B8C8" w:sz="4"/>
            </w:tcBorders>
            <w:shd w:fill="1A2E5A" w:val="clear"/>
            <w:tcMar>
              <w:top w:type="dxa" w:w="90"/>
              <w:left w:type="dxa" w:w="120"/>
              <w:bottom w:type="dxa" w:w="90"/>
              <w:right w:type="dxa" w:w="120"/>
            </w:tcMar>
          </w:tcPr>
          <w:p>
            <w:pPr>
              <w:spacing w:after="0" w:before="0"/>
              <w:jc w:val="left"/>
            </w:pPr>
            <w:r>
              <w:rPr>
                <w:rFonts w:ascii="Georgia" w:cs="Georgia" w:eastAsia="Georgia" w:hAnsi="Georgia"/>
                <w:b/>
                <w:bCs/>
                <w:color w:val="FFFFFF"/>
                <w:sz w:val="19"/>
                <w:szCs w:val="19"/>
              </w:rPr>
              <w:t xml:space="preserve">Category</w:t>
            </w:r>
          </w:p>
        </w:tc>
        <w:tc>
          <w:tcPr>
            <w:tcW w:type="dxa" w:w="3400"/>
            <w:tcBorders>
              <w:top w:val="single" w:color="B0B8C8" w:sz="4"/>
              <w:left w:val="single" w:color="B0B8C8" w:sz="4"/>
              <w:bottom w:val="single" w:color="B0B8C8" w:sz="4"/>
              <w:right w:val="single" w:color="B0B8C8" w:sz="4"/>
            </w:tcBorders>
            <w:shd w:fill="1A2E5A" w:val="clear"/>
            <w:tcMar>
              <w:top w:type="dxa" w:w="90"/>
              <w:left w:type="dxa" w:w="120"/>
              <w:bottom w:type="dxa" w:w="90"/>
              <w:right w:type="dxa" w:w="120"/>
            </w:tcMar>
          </w:tcPr>
          <w:p>
            <w:pPr>
              <w:spacing w:after="0" w:before="0"/>
              <w:jc w:val="left"/>
            </w:pPr>
            <w:r>
              <w:rPr>
                <w:rFonts w:ascii="Georgia" w:cs="Georgia" w:eastAsia="Georgia" w:hAnsi="Georgia"/>
                <w:b/>
                <w:bCs/>
                <w:color w:val="FFFFFF"/>
                <w:sz w:val="19"/>
                <w:szCs w:val="19"/>
              </w:rPr>
              <w:t xml:space="preserve">Item / Description</w:t>
            </w:r>
          </w:p>
        </w:tc>
        <w:tc>
          <w:tcPr>
            <w:tcW w:type="dxa" w:w="1100"/>
            <w:tcBorders>
              <w:top w:val="single" w:color="B0B8C8" w:sz="4"/>
              <w:left w:val="single" w:color="B0B8C8" w:sz="4"/>
              <w:bottom w:val="single" w:color="B0B8C8" w:sz="4"/>
              <w:right w:val="single" w:color="B0B8C8" w:sz="4"/>
            </w:tcBorders>
            <w:shd w:fill="1A2E5A" w:val="clear"/>
            <w:tcMar>
              <w:top w:type="dxa" w:w="90"/>
              <w:left w:type="dxa" w:w="120"/>
              <w:bottom w:type="dxa" w:w="90"/>
              <w:right w:type="dxa" w:w="120"/>
            </w:tcMar>
          </w:tcPr>
          <w:p>
            <w:pPr>
              <w:spacing w:after="0" w:before="0"/>
              <w:jc w:val="right"/>
            </w:pPr>
            <w:r>
              <w:rPr>
                <w:rFonts w:ascii="Georgia" w:cs="Georgia" w:eastAsia="Georgia" w:hAnsi="Georgia"/>
                <w:b/>
                <w:bCs/>
                <w:color w:val="FFFFFF"/>
                <w:sz w:val="19"/>
                <w:szCs w:val="19"/>
              </w:rPr>
              <w:t xml:space="preserve">Qty</w:t>
            </w:r>
          </w:p>
        </w:tc>
        <w:tc>
          <w:tcPr>
            <w:tcW w:type="dxa" w:w="1100"/>
            <w:tcBorders>
              <w:top w:val="single" w:color="B0B8C8" w:sz="4"/>
              <w:left w:val="single" w:color="B0B8C8" w:sz="4"/>
              <w:bottom w:val="single" w:color="B0B8C8" w:sz="4"/>
              <w:right w:val="single" w:color="B0B8C8" w:sz="4"/>
            </w:tcBorders>
            <w:shd w:fill="1A2E5A" w:val="clear"/>
            <w:tcMar>
              <w:top w:type="dxa" w:w="90"/>
              <w:left w:type="dxa" w:w="120"/>
              <w:bottom w:type="dxa" w:w="90"/>
              <w:right w:type="dxa" w:w="120"/>
            </w:tcMar>
          </w:tcPr>
          <w:p>
            <w:pPr>
              <w:spacing w:after="0" w:before="0"/>
              <w:jc w:val="right"/>
            </w:pPr>
            <w:r>
              <w:rPr>
                <w:rFonts w:ascii="Georgia" w:cs="Georgia" w:eastAsia="Georgia" w:hAnsi="Georgia"/>
                <w:b/>
                <w:bCs/>
                <w:color w:val="FFFFFF"/>
                <w:sz w:val="19"/>
                <w:szCs w:val="19"/>
              </w:rPr>
              <w:t xml:space="preserve">Unit Cost</w:t>
            </w:r>
          </w:p>
        </w:tc>
        <w:tc>
          <w:tcPr>
            <w:tcW w:type="dxa" w:w="1660"/>
            <w:tcBorders>
              <w:top w:val="single" w:color="B0B8C8" w:sz="4"/>
              <w:left w:val="single" w:color="B0B8C8" w:sz="4"/>
              <w:bottom w:val="single" w:color="B0B8C8" w:sz="4"/>
              <w:right w:val="single" w:color="B0B8C8" w:sz="4"/>
            </w:tcBorders>
            <w:shd w:fill="1A2E5A" w:val="clear"/>
            <w:tcMar>
              <w:top w:type="dxa" w:w="90"/>
              <w:left w:type="dxa" w:w="120"/>
              <w:bottom w:type="dxa" w:w="90"/>
              <w:right w:type="dxa" w:w="120"/>
            </w:tcMar>
          </w:tcPr>
          <w:p>
            <w:pPr>
              <w:spacing w:after="0" w:before="0"/>
              <w:jc w:val="right"/>
            </w:pPr>
            <w:r>
              <w:rPr>
                <w:rFonts w:ascii="Georgia" w:cs="Georgia" w:eastAsia="Georgia" w:hAnsi="Georgia"/>
                <w:b/>
                <w:bCs/>
                <w:color w:val="FFFFFF"/>
                <w:sz w:val="19"/>
                <w:szCs w:val="19"/>
              </w:rPr>
              <w:t xml:space="preserve">Total</w:t>
            </w:r>
          </w:p>
        </w:tc>
      </w:tr>
      <w:tr>
        <w:tc>
          <w:tcPr>
            <w:tcW w:type="dxa" w:w="1800"/>
            <w:tcBorders>
              <w:top w:val="single" w:color="B0B8C8" w:sz="4"/>
              <w:left w:val="single" w:color="B0B8C8" w:sz="4"/>
              <w:bottom w:val="single" w:color="B0B8C8" w:sz="4"/>
              <w:right w:val="single" w:color="B0B8C8" w:sz="4"/>
            </w:tcBorders>
            <w:shd w:fill="0D1B3E" w:val="clear"/>
            <w:tcMar>
              <w:top w:type="dxa" w:w="80"/>
              <w:left w:type="dxa" w:w="120"/>
              <w:bottom w:type="dxa" w:w="80"/>
              <w:right w:type="dxa" w:w="120"/>
            </w:tcMar>
          </w:tcPr>
          <w:p>
            <w:pPr>
              <w:spacing w:after="0" w:before="0"/>
            </w:pPr>
            <w:r>
              <w:rPr>
                <w:rFonts w:ascii="Georgia" w:cs="Georgia" w:eastAsia="Georgia" w:hAnsi="Georgia"/>
                <w:b/>
                <w:bCs/>
                <w:color w:val="FFFFFF"/>
                <w:sz w:val="19"/>
                <w:szCs w:val="19"/>
              </w:rPr>
              <w:t xml:space="preserve">Fundraising</w:t>
            </w:r>
          </w:p>
        </w:tc>
        <w:tc>
          <w:tcPr>
            <w:tcW w:type="dxa" w:w="7260"/>
            <w:tcBorders>
              <w:top w:val="single" w:color="B0B8C8" w:sz="4"/>
              <w:left w:val="single" w:color="B0B8C8" w:sz="4"/>
              <w:bottom w:val="single" w:color="B0B8C8" w:sz="4"/>
              <w:right w:val="single" w:color="B0B8C8" w:sz="4"/>
            </w:tcBorders>
            <w:shd w:fill="0D1B3E" w:val="clear"/>
            <w:tcMar>
              <w:top w:type="dxa" w:w="80"/>
              <w:left w:type="dxa" w:w="120"/>
              <w:bottom w:type="dxa" w:w="80"/>
              <w:right w:type="dxa" w:w="120"/>
            </w:tcMar>
          </w:tcPr>
          <w:p>
            <w:pPr>
              <w:spacing w:after="0" w:before="0"/>
            </w:pPr>
            <w:r>
              <w:rPr>
                <w:rFonts w:ascii="Arial" w:cs="Arial" w:eastAsia="Arial" w:hAnsi="Arial"/>
                <w:color w:val="FFFFFF"/>
                <w:sz w:val="18"/>
                <w:szCs w:val="18"/>
              </w:rPr>
              <w:t xml:space="preserve"/>
            </w:r>
          </w:p>
        </w:tc>
      </w:tr>
      <w:tr>
        <w:tc>
          <w:tcPr>
            <w:tcW w:type="dxa" w:w="18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Membership contribution (optional, voluntary)</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~30 members</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200</w:t>
            </w:r>
          </w:p>
        </w:tc>
        <w:tc>
          <w:tcPr>
            <w:tcW w:type="dxa" w:w="166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b/>
                <w:bCs/>
                <w:color w:val="1A5C1A"/>
                <w:sz w:val="18"/>
                <w:szCs w:val="18"/>
              </w:rPr>
              <w:t xml:space="preserve">INR 6,000</w:t>
            </w:r>
          </w:p>
        </w:tc>
      </w:tr>
      <w:tr>
        <w:tc>
          <w:tcPr>
            <w:tcW w:type="dxa" w:w="18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Flagship Speaker Series sponsorship</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1 sponsor</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15,000</w:t>
            </w:r>
          </w:p>
        </w:tc>
        <w:tc>
          <w:tcPr>
            <w:tcW w:type="dxa" w:w="166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b/>
                <w:bCs/>
                <w:color w:val="1A5C1A"/>
                <w:sz w:val="18"/>
                <w:szCs w:val="18"/>
              </w:rPr>
              <w:t xml:space="preserve">INR 15,000</w:t>
            </w:r>
          </w:p>
        </w:tc>
      </w:tr>
      <w:tr>
        <w:tc>
          <w:tcPr>
            <w:tcW w:type="dxa" w:w="18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Annual Conference sponsorship</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2 sponsors</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20,000</w:t>
            </w:r>
          </w:p>
        </w:tc>
        <w:tc>
          <w:tcPr>
            <w:tcW w:type="dxa" w:w="166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b/>
                <w:bCs/>
                <w:color w:val="1A5C1A"/>
                <w:sz w:val="18"/>
                <w:szCs w:val="18"/>
              </w:rPr>
              <w:t xml:space="preserve">INR 40,000</w:t>
            </w:r>
          </w:p>
        </w:tc>
      </w:tr>
      <w:tr>
        <w:tc>
          <w:tcPr>
            <w:tcW w:type="dxa" w:w="18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Workshop co-sponsorship (family business networks)</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1 sponsor</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10,000</w:t>
            </w:r>
          </w:p>
        </w:tc>
        <w:tc>
          <w:tcPr>
            <w:tcW w:type="dxa" w:w="166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b/>
                <w:bCs/>
                <w:color w:val="1A5C1A"/>
                <w:sz w:val="18"/>
                <w:szCs w:val="18"/>
              </w:rPr>
              <w:t xml:space="preserve">INR 10,000</w:t>
            </w:r>
          </w:p>
        </w:tc>
      </w:tr>
      <w:tr>
        <w:tc>
          <w:tcPr>
            <w:tcW w:type="dxa" w:w="18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In-kind support (venue / catering from partners)</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w:t>
            </w:r>
          </w:p>
        </w:tc>
        <w:tc>
          <w:tcPr>
            <w:tcW w:type="dxa" w:w="166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b/>
                <w:bCs/>
                <w:color w:val="1A5C1A"/>
                <w:sz w:val="18"/>
                <w:szCs w:val="18"/>
              </w:rPr>
              <w:t xml:space="preserve">INR 8,000</w:t>
            </w:r>
          </w:p>
        </w:tc>
      </w:tr>
    </w:tbl>
    <w:p>
      <w:pPr>
        <w:spacing w:after="0" w:before="60"/>
      </w:pPr>
      <w:r>
        <w:t xml:space="preserve"/>
      </w:r>
    </w:p>
    <w:p>
      <w:pPr>
        <w:spacing w:after="80" w:before="60"/>
        <w:jc w:val="both"/>
      </w:pPr>
      <w:r>
        <w:rPr>
          <w:rFonts w:ascii="Arial" w:cs="Arial" w:eastAsia="Arial" w:hAnsi="Arial"/>
          <w:b/>
          <w:bCs/>
          <w:color w:val="0D1B3E"/>
          <w:sz w:val="21"/>
          <w:szCs w:val="21"/>
        </w:rPr>
        <w:t xml:space="preserve">Total Projected Cash Income: </w:t>
      </w:r>
      <w:r>
        <w:rPr>
          <w:rFonts w:ascii="Arial" w:cs="Arial" w:eastAsia="Arial" w:hAnsi="Arial"/>
          <w:color w:val="1A1A2E"/>
          <w:sz w:val="21"/>
          <w:szCs w:val="21"/>
        </w:rPr>
        <w:t xml:space="preserve">INR 71,000  |  Estimated In-Kind Support: INR 8,000</w:t>
      </w:r>
    </w:p>
    <w:p>
      <w:pPr>
        <w:spacing w:after="0" w:before="180"/>
      </w:pPr>
      <w:r>
        <w:t xml:space="preserve"/>
      </w:r>
    </w:p>
    <w:p>
      <w:pPr>
        <w:spacing w:after="60" w:before="300"/>
      </w:pPr>
      <w:r>
        <w:rPr>
          <w:rFonts w:ascii="Georgia" w:cs="Georgia" w:eastAsia="Georgia" w:hAnsi="Georgia"/>
          <w:color w:val="B0B8C8"/>
          <w:sz w:val="24"/>
          <w:szCs w:val="24"/>
        </w:rPr>
        <w:t xml:space="preserve">03  </w:t>
      </w:r>
      <w:r>
        <w:rPr>
          <w:rFonts w:ascii="Georgia" w:cs="Georgia" w:eastAsia="Georgia" w:hAnsi="Georgia"/>
          <w:b/>
          <w:bCs/>
          <w:color w:val="0D1B3E"/>
          <w:sz w:val="27"/>
          <w:szCs w:val="27"/>
        </w:rPr>
        <w:t xml:space="preserve">Projected Expenditure</w:t>
      </w:r>
    </w:p>
    <w:p>
      <w:pPr>
        <w:pBdr>
          <w:bottom w:val="single" w:color="0D1B3E" w:sz="6" w:space="1"/>
        </w:pBdr>
        <w:spacing w:after="140" w:before="40"/>
      </w:pPr>
    </w:p>
    <w:p>
      <w:pPr>
        <w:spacing w:after="80" w:before="60"/>
        <w:jc w:val="both"/>
      </w:pPr>
      <w:r>
        <w:rPr>
          <w:rFonts w:ascii="Arial" w:cs="Arial" w:eastAsia="Arial" w:hAnsi="Arial"/>
          <w:color w:val="1A1A2E"/>
          <w:sz w:val="21"/>
          <w:szCs w:val="21"/>
        </w:rPr>
        <w:t xml:space="preserve">All expenditure items require itemised approval from the Student Life Office before any payment or commitment is made. Reimbursements will be submitted with full receipts within 10 working days of expenditure.</w:t>
      </w:r>
    </w:p>
    <w:p>
      <w:pPr>
        <w:spacing w:after="0" w:before="80"/>
      </w:pPr>
      <w:r>
        <w:t xml:space="preserve"/>
      </w: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1800"/>
        <w:gridCol w:w="3400"/>
        <w:gridCol w:w="1100"/>
        <w:gridCol w:w="1100"/>
        <w:gridCol w:w="1660"/>
      </w:tblGrid>
      <w:tr>
        <w:tc>
          <w:tcPr>
            <w:tcW w:type="dxa" w:w="1800"/>
            <w:tcBorders>
              <w:top w:val="single" w:color="B0B8C8" w:sz="4"/>
              <w:left w:val="single" w:color="B0B8C8" w:sz="4"/>
              <w:bottom w:val="single" w:color="B0B8C8" w:sz="4"/>
              <w:right w:val="single" w:color="B0B8C8" w:sz="4"/>
            </w:tcBorders>
            <w:shd w:fill="1A2E5A" w:val="clear"/>
            <w:tcMar>
              <w:top w:type="dxa" w:w="90"/>
              <w:left w:type="dxa" w:w="120"/>
              <w:bottom w:type="dxa" w:w="90"/>
              <w:right w:type="dxa" w:w="120"/>
            </w:tcMar>
          </w:tcPr>
          <w:p>
            <w:pPr>
              <w:spacing w:after="0" w:before="0"/>
              <w:jc w:val="left"/>
            </w:pPr>
            <w:r>
              <w:rPr>
                <w:rFonts w:ascii="Georgia" w:cs="Georgia" w:eastAsia="Georgia" w:hAnsi="Georgia"/>
                <w:b/>
                <w:bCs/>
                <w:color w:val="FFFFFF"/>
                <w:sz w:val="19"/>
                <w:szCs w:val="19"/>
              </w:rPr>
              <w:t xml:space="preserve">Category</w:t>
            </w:r>
          </w:p>
        </w:tc>
        <w:tc>
          <w:tcPr>
            <w:tcW w:type="dxa" w:w="3400"/>
            <w:tcBorders>
              <w:top w:val="single" w:color="B0B8C8" w:sz="4"/>
              <w:left w:val="single" w:color="B0B8C8" w:sz="4"/>
              <w:bottom w:val="single" w:color="B0B8C8" w:sz="4"/>
              <w:right w:val="single" w:color="B0B8C8" w:sz="4"/>
            </w:tcBorders>
            <w:shd w:fill="1A2E5A" w:val="clear"/>
            <w:tcMar>
              <w:top w:type="dxa" w:w="90"/>
              <w:left w:type="dxa" w:w="120"/>
              <w:bottom w:type="dxa" w:w="90"/>
              <w:right w:type="dxa" w:w="120"/>
            </w:tcMar>
          </w:tcPr>
          <w:p>
            <w:pPr>
              <w:spacing w:after="0" w:before="0"/>
              <w:jc w:val="left"/>
            </w:pPr>
            <w:r>
              <w:rPr>
                <w:rFonts w:ascii="Georgia" w:cs="Georgia" w:eastAsia="Georgia" w:hAnsi="Georgia"/>
                <w:b/>
                <w:bCs/>
                <w:color w:val="FFFFFF"/>
                <w:sz w:val="19"/>
                <w:szCs w:val="19"/>
              </w:rPr>
              <w:t xml:space="preserve">Item / Description</w:t>
            </w:r>
          </w:p>
        </w:tc>
        <w:tc>
          <w:tcPr>
            <w:tcW w:type="dxa" w:w="1100"/>
            <w:tcBorders>
              <w:top w:val="single" w:color="B0B8C8" w:sz="4"/>
              <w:left w:val="single" w:color="B0B8C8" w:sz="4"/>
              <w:bottom w:val="single" w:color="B0B8C8" w:sz="4"/>
              <w:right w:val="single" w:color="B0B8C8" w:sz="4"/>
            </w:tcBorders>
            <w:shd w:fill="1A2E5A" w:val="clear"/>
            <w:tcMar>
              <w:top w:type="dxa" w:w="90"/>
              <w:left w:type="dxa" w:w="120"/>
              <w:bottom w:type="dxa" w:w="90"/>
              <w:right w:type="dxa" w:w="120"/>
            </w:tcMar>
          </w:tcPr>
          <w:p>
            <w:pPr>
              <w:spacing w:after="0" w:before="0"/>
              <w:jc w:val="right"/>
            </w:pPr>
            <w:r>
              <w:rPr>
                <w:rFonts w:ascii="Georgia" w:cs="Georgia" w:eastAsia="Georgia" w:hAnsi="Georgia"/>
                <w:b/>
                <w:bCs/>
                <w:color w:val="FFFFFF"/>
                <w:sz w:val="19"/>
                <w:szCs w:val="19"/>
              </w:rPr>
              <w:t xml:space="preserve">Qty</w:t>
            </w:r>
          </w:p>
        </w:tc>
        <w:tc>
          <w:tcPr>
            <w:tcW w:type="dxa" w:w="1100"/>
            <w:tcBorders>
              <w:top w:val="single" w:color="B0B8C8" w:sz="4"/>
              <w:left w:val="single" w:color="B0B8C8" w:sz="4"/>
              <w:bottom w:val="single" w:color="B0B8C8" w:sz="4"/>
              <w:right w:val="single" w:color="B0B8C8" w:sz="4"/>
            </w:tcBorders>
            <w:shd w:fill="1A2E5A" w:val="clear"/>
            <w:tcMar>
              <w:top w:type="dxa" w:w="90"/>
              <w:left w:type="dxa" w:w="120"/>
              <w:bottom w:type="dxa" w:w="90"/>
              <w:right w:type="dxa" w:w="120"/>
            </w:tcMar>
          </w:tcPr>
          <w:p>
            <w:pPr>
              <w:spacing w:after="0" w:before="0"/>
              <w:jc w:val="right"/>
            </w:pPr>
            <w:r>
              <w:rPr>
                <w:rFonts w:ascii="Georgia" w:cs="Georgia" w:eastAsia="Georgia" w:hAnsi="Georgia"/>
                <w:b/>
                <w:bCs/>
                <w:color w:val="FFFFFF"/>
                <w:sz w:val="19"/>
                <w:szCs w:val="19"/>
              </w:rPr>
              <w:t xml:space="preserve">Unit Cost</w:t>
            </w:r>
          </w:p>
        </w:tc>
        <w:tc>
          <w:tcPr>
            <w:tcW w:type="dxa" w:w="1660"/>
            <w:tcBorders>
              <w:top w:val="single" w:color="B0B8C8" w:sz="4"/>
              <w:left w:val="single" w:color="B0B8C8" w:sz="4"/>
              <w:bottom w:val="single" w:color="B0B8C8" w:sz="4"/>
              <w:right w:val="single" w:color="B0B8C8" w:sz="4"/>
            </w:tcBorders>
            <w:shd w:fill="1A2E5A" w:val="clear"/>
            <w:tcMar>
              <w:top w:type="dxa" w:w="90"/>
              <w:left w:type="dxa" w:w="120"/>
              <w:bottom w:type="dxa" w:w="90"/>
              <w:right w:type="dxa" w:w="120"/>
            </w:tcMar>
          </w:tcPr>
          <w:p>
            <w:pPr>
              <w:spacing w:after="0" w:before="0"/>
              <w:jc w:val="right"/>
            </w:pPr>
            <w:r>
              <w:rPr>
                <w:rFonts w:ascii="Georgia" w:cs="Georgia" w:eastAsia="Georgia" w:hAnsi="Georgia"/>
                <w:b/>
                <w:bCs/>
                <w:color w:val="FFFFFF"/>
                <w:sz w:val="19"/>
                <w:szCs w:val="19"/>
              </w:rPr>
              <w:t xml:space="preserve">Total</w:t>
            </w:r>
          </w:p>
        </w:tc>
      </w:tr>
      <w:tr>
        <w:tc>
          <w:tcPr>
            <w:tcW w:type="dxa" w:w="1800"/>
            <w:tcBorders>
              <w:top w:val="single" w:color="B0B8C8" w:sz="4"/>
              <w:left w:val="single" w:color="B0B8C8" w:sz="4"/>
              <w:bottom w:val="single" w:color="B0B8C8" w:sz="4"/>
              <w:right w:val="single" w:color="B0B8C8" w:sz="4"/>
            </w:tcBorders>
            <w:shd w:fill="0D1B3E" w:val="clear"/>
            <w:tcMar>
              <w:top w:type="dxa" w:w="80"/>
              <w:left w:type="dxa" w:w="120"/>
              <w:bottom w:type="dxa" w:w="80"/>
              <w:right w:type="dxa" w:w="120"/>
            </w:tcMar>
          </w:tcPr>
          <w:p>
            <w:pPr>
              <w:spacing w:after="0" w:before="0"/>
            </w:pPr>
            <w:r>
              <w:rPr>
                <w:rFonts w:ascii="Georgia" w:cs="Georgia" w:eastAsia="Georgia" w:hAnsi="Georgia"/>
                <w:b/>
                <w:bCs/>
                <w:color w:val="FFFFFF"/>
                <w:sz w:val="19"/>
                <w:szCs w:val="19"/>
              </w:rPr>
              <w:t xml:space="preserve">Events &amp; Programming</w:t>
            </w:r>
          </w:p>
        </w:tc>
        <w:tc>
          <w:tcPr>
            <w:tcW w:type="dxa" w:w="7260"/>
            <w:tcBorders>
              <w:top w:val="single" w:color="B0B8C8" w:sz="4"/>
              <w:left w:val="single" w:color="B0B8C8" w:sz="4"/>
              <w:bottom w:val="single" w:color="B0B8C8" w:sz="4"/>
              <w:right w:val="single" w:color="B0B8C8" w:sz="4"/>
            </w:tcBorders>
            <w:shd w:fill="0D1B3E" w:val="clear"/>
            <w:tcMar>
              <w:top w:type="dxa" w:w="80"/>
              <w:left w:type="dxa" w:w="120"/>
              <w:bottom w:type="dxa" w:w="80"/>
              <w:right w:type="dxa" w:w="120"/>
            </w:tcMar>
          </w:tcPr>
          <w:p>
            <w:pPr>
              <w:spacing w:after="0" w:before="0"/>
            </w:pPr>
            <w:r>
              <w:rPr>
                <w:rFonts w:ascii="Arial" w:cs="Arial" w:eastAsia="Arial" w:hAnsi="Arial"/>
                <w:color w:val="FFFFFF"/>
                <w:sz w:val="18"/>
                <w:szCs w:val="18"/>
              </w:rPr>
              <w:t xml:space="preserve"/>
            </w:r>
          </w:p>
        </w:tc>
      </w:tr>
      <w:tr>
        <w:tc>
          <w:tcPr>
            <w:tcW w:type="dxa" w:w="18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Speaker Series (×2 sessions) — logistics, AV, materials</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2</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4,000</w:t>
            </w:r>
          </w:p>
        </w:tc>
        <w:tc>
          <w:tcPr>
            <w:tcW w:type="dxa" w:w="166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8,000</w:t>
            </w:r>
          </w:p>
        </w:tc>
      </w:tr>
      <w:tr>
        <w:tc>
          <w:tcPr>
            <w:tcW w:type="dxa" w:w="18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NextGen Dialogues (×2) — intimate format, minimal cost</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2</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1,500</w:t>
            </w:r>
          </w:p>
        </w:tc>
        <w:tc>
          <w:tcPr>
            <w:tcW w:type="dxa" w:w="166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3,000</w:t>
            </w:r>
          </w:p>
        </w:tc>
      </w:tr>
      <w:tr>
        <w:tc>
          <w:tcPr>
            <w:tcW w:type="dxa" w:w="18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Case Study Workshops (×2) — case printing, facilitation</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2</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2,000</w:t>
            </w:r>
          </w:p>
        </w:tc>
        <w:tc>
          <w:tcPr>
            <w:tcW w:type="dxa" w:w="166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4,000</w:t>
            </w:r>
          </w:p>
        </w:tc>
      </w:tr>
      <w:tr>
        <w:tc>
          <w:tcPr>
            <w:tcW w:type="dxa" w:w="18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Governance Workshops (×2) — materials, guest expenses</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2</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2,500</w:t>
            </w:r>
          </w:p>
        </w:tc>
        <w:tc>
          <w:tcPr>
            <w:tcW w:type="dxa" w:w="166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5,000</w:t>
            </w:r>
          </w:p>
        </w:tc>
      </w:tr>
      <w:tr>
        <w:tc>
          <w:tcPr>
            <w:tcW w:type="dxa" w:w="18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Founder to Family Panel — AV, materials</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1</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3,000</w:t>
            </w:r>
          </w:p>
        </w:tc>
        <w:tc>
          <w:tcPr>
            <w:tcW w:type="dxa" w:w="166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3,000</w:t>
            </w:r>
          </w:p>
        </w:tc>
      </w:tr>
      <w:tr>
        <w:tc>
          <w:tcPr>
            <w:tcW w:type="dxa" w:w="18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State of Family Business session — data report printing</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1</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1,500</w:t>
            </w:r>
          </w:p>
        </w:tc>
        <w:tc>
          <w:tcPr>
            <w:tcW w:type="dxa" w:w="166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1,500</w:t>
            </w:r>
          </w:p>
        </w:tc>
      </w:tr>
      <w:tr>
        <w:tc>
          <w:tcPr>
            <w:tcW w:type="dxa" w:w="18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Annual Conference (planning begins Sem 1)</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1</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25,000</w:t>
            </w:r>
          </w:p>
        </w:tc>
        <w:tc>
          <w:tcPr>
            <w:tcW w:type="dxa" w:w="166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25,000</w:t>
            </w:r>
          </w:p>
        </w:tc>
      </w:tr>
      <w:tr>
        <w:tc>
          <w:tcPr>
            <w:tcW w:type="dxa" w:w="18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Inter-Club Collaboration Event — shared costs</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1</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2,000</w:t>
            </w:r>
          </w:p>
        </w:tc>
        <w:tc>
          <w:tcPr>
            <w:tcW w:type="dxa" w:w="166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2,000</w:t>
            </w:r>
          </w:p>
        </w:tc>
      </w:tr>
      <w:tr>
        <w:tc>
          <w:tcPr>
            <w:tcW w:type="dxa" w:w="18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Clubs &amp; Societies Fair stall — display, print materials</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1</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1,500</w:t>
            </w:r>
          </w:p>
        </w:tc>
        <w:tc>
          <w:tcPr>
            <w:tcW w:type="dxa" w:w="166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1,500</w:t>
            </w:r>
          </w:p>
        </w:tc>
      </w:tr>
      <w:tr>
        <w:tc>
          <w:tcPr>
            <w:tcW w:type="dxa" w:w="18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Jashn-e-Jazba — creative showcase materials</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1</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1,000</w:t>
            </w:r>
          </w:p>
        </w:tc>
        <w:tc>
          <w:tcPr>
            <w:tcW w:type="dxa" w:w="166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1,000</w:t>
            </w:r>
          </w:p>
        </w:tc>
      </w:tr>
      <w:tr>
        <w:tc>
          <w:tcPr>
            <w:tcW w:type="dxa" w:w="1800"/>
            <w:tcBorders>
              <w:top w:val="single" w:color="B0B8C8" w:sz="4"/>
              <w:left w:val="single" w:color="B0B8C8" w:sz="4"/>
              <w:bottom w:val="single" w:color="B0B8C8" w:sz="4"/>
              <w:right w:val="single" w:color="B0B8C8" w:sz="4"/>
            </w:tcBorders>
            <w:shd w:fill="0D1B3E" w:val="clear"/>
            <w:tcMar>
              <w:top w:type="dxa" w:w="80"/>
              <w:left w:type="dxa" w:w="120"/>
              <w:bottom w:type="dxa" w:w="80"/>
              <w:right w:type="dxa" w:w="120"/>
            </w:tcMar>
          </w:tcPr>
          <w:p>
            <w:pPr>
              <w:spacing w:after="0" w:before="0"/>
            </w:pPr>
            <w:r>
              <w:rPr>
                <w:rFonts w:ascii="Georgia" w:cs="Georgia" w:eastAsia="Georgia" w:hAnsi="Georgia"/>
                <w:b/>
                <w:bCs/>
                <w:color w:val="FFFFFF"/>
                <w:sz w:val="19"/>
                <w:szCs w:val="19"/>
              </w:rPr>
              <w:t xml:space="preserve">Community &amp; Mentorship</w:t>
            </w:r>
          </w:p>
        </w:tc>
        <w:tc>
          <w:tcPr>
            <w:tcW w:type="dxa" w:w="7260"/>
            <w:tcBorders>
              <w:top w:val="single" w:color="B0B8C8" w:sz="4"/>
              <w:left w:val="single" w:color="B0B8C8" w:sz="4"/>
              <w:bottom w:val="single" w:color="B0B8C8" w:sz="4"/>
              <w:right w:val="single" w:color="B0B8C8" w:sz="4"/>
            </w:tcBorders>
            <w:shd w:fill="0D1B3E" w:val="clear"/>
            <w:tcMar>
              <w:top w:type="dxa" w:w="80"/>
              <w:left w:type="dxa" w:w="120"/>
              <w:bottom w:type="dxa" w:w="80"/>
              <w:right w:type="dxa" w:w="120"/>
            </w:tcMar>
          </w:tcPr>
          <w:p>
            <w:pPr>
              <w:spacing w:after="0" w:before="0"/>
            </w:pPr>
            <w:r>
              <w:rPr>
                <w:rFonts w:ascii="Arial" w:cs="Arial" w:eastAsia="Arial" w:hAnsi="Arial"/>
                <w:color w:val="FFFFFF"/>
                <w:sz w:val="18"/>
                <w:szCs w:val="18"/>
              </w:rPr>
              <w:t xml:space="preserve"/>
            </w:r>
          </w:p>
        </w:tc>
      </w:tr>
      <w:tr>
        <w:tc>
          <w:tcPr>
            <w:tcW w:type="dxa" w:w="18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Peer Learning Circles (×2) — room, refreshments</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2</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1,200</w:t>
            </w:r>
          </w:p>
        </w:tc>
        <w:tc>
          <w:tcPr>
            <w:tcW w:type="dxa" w:w="166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2,400</w:t>
            </w:r>
          </w:p>
        </w:tc>
      </w:tr>
      <w:tr>
        <w:tc>
          <w:tcPr>
            <w:tcW w:type="dxa" w:w="18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Mentorship Programme — matching event, materials</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1</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1,500</w:t>
            </w:r>
          </w:p>
        </w:tc>
        <w:tc>
          <w:tcPr>
            <w:tcW w:type="dxa" w:w="166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1,500</w:t>
            </w:r>
          </w:p>
        </w:tc>
      </w:tr>
      <w:tr>
        <w:tc>
          <w:tcPr>
            <w:tcW w:type="dxa" w:w="18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Member Onboarding — welcome kit, printed materials</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1</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2,000</w:t>
            </w:r>
          </w:p>
        </w:tc>
        <w:tc>
          <w:tcPr>
            <w:tcW w:type="dxa" w:w="166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2,000</w:t>
            </w:r>
          </w:p>
        </w:tc>
      </w:tr>
      <w:tr>
        <w:tc>
          <w:tcPr>
            <w:tcW w:type="dxa" w:w="1800"/>
            <w:tcBorders>
              <w:top w:val="single" w:color="B0B8C8" w:sz="4"/>
              <w:left w:val="single" w:color="B0B8C8" w:sz="4"/>
              <w:bottom w:val="single" w:color="B0B8C8" w:sz="4"/>
              <w:right w:val="single" w:color="B0B8C8" w:sz="4"/>
            </w:tcBorders>
            <w:shd w:fill="0D1B3E" w:val="clear"/>
            <w:tcMar>
              <w:top w:type="dxa" w:w="80"/>
              <w:left w:type="dxa" w:w="120"/>
              <w:bottom w:type="dxa" w:w="80"/>
              <w:right w:type="dxa" w:w="120"/>
            </w:tcMar>
          </w:tcPr>
          <w:p>
            <w:pPr>
              <w:spacing w:after="0" w:before="0"/>
            </w:pPr>
            <w:r>
              <w:rPr>
                <w:rFonts w:ascii="Georgia" w:cs="Georgia" w:eastAsia="Georgia" w:hAnsi="Georgia"/>
                <w:b/>
                <w:bCs/>
                <w:color w:val="FFFFFF"/>
                <w:sz w:val="19"/>
                <w:szCs w:val="19"/>
              </w:rPr>
              <w:t xml:space="preserve">Outreach &amp; Communications</w:t>
            </w:r>
          </w:p>
        </w:tc>
        <w:tc>
          <w:tcPr>
            <w:tcW w:type="dxa" w:w="7260"/>
            <w:tcBorders>
              <w:top w:val="single" w:color="B0B8C8" w:sz="4"/>
              <w:left w:val="single" w:color="B0B8C8" w:sz="4"/>
              <w:bottom w:val="single" w:color="B0B8C8" w:sz="4"/>
              <w:right w:val="single" w:color="B0B8C8" w:sz="4"/>
            </w:tcBorders>
            <w:shd w:fill="0D1B3E" w:val="clear"/>
            <w:tcMar>
              <w:top w:type="dxa" w:w="80"/>
              <w:left w:type="dxa" w:w="120"/>
              <w:bottom w:type="dxa" w:w="80"/>
              <w:right w:type="dxa" w:w="120"/>
            </w:tcMar>
          </w:tcPr>
          <w:p>
            <w:pPr>
              <w:spacing w:after="0" w:before="0"/>
            </w:pPr>
            <w:r>
              <w:rPr>
                <w:rFonts w:ascii="Arial" w:cs="Arial" w:eastAsia="Arial" w:hAnsi="Arial"/>
                <w:color w:val="FFFFFF"/>
                <w:sz w:val="18"/>
                <w:szCs w:val="18"/>
              </w:rPr>
              <w:t xml:space="preserve"/>
            </w:r>
          </w:p>
        </w:tc>
      </w:tr>
      <w:tr>
        <w:tc>
          <w:tcPr>
            <w:tcW w:type="dxa" w:w="18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Club branding — posters, digital assets, social media</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w:t>
            </w:r>
          </w:p>
        </w:tc>
        <w:tc>
          <w:tcPr>
            <w:tcW w:type="dxa" w:w="166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2,500</w:t>
            </w:r>
          </w:p>
        </w:tc>
      </w:tr>
      <w:tr>
        <w:tc>
          <w:tcPr>
            <w:tcW w:type="dxa" w:w="18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Research Showcase — printing, binding</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1</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1,500</w:t>
            </w:r>
          </w:p>
        </w:tc>
        <w:tc>
          <w:tcPr>
            <w:tcW w:type="dxa" w:w="166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1,500</w:t>
            </w:r>
          </w:p>
        </w:tc>
      </w:tr>
      <w:tr>
        <w:tc>
          <w:tcPr>
            <w:tcW w:type="dxa" w:w="1800"/>
            <w:tcBorders>
              <w:top w:val="single" w:color="B0B8C8" w:sz="4"/>
              <w:left w:val="single" w:color="B0B8C8" w:sz="4"/>
              <w:bottom w:val="single" w:color="B0B8C8" w:sz="4"/>
              <w:right w:val="single" w:color="B0B8C8" w:sz="4"/>
            </w:tcBorders>
            <w:shd w:fill="0D1B3E" w:val="clear"/>
            <w:tcMar>
              <w:top w:type="dxa" w:w="80"/>
              <w:left w:type="dxa" w:w="120"/>
              <w:bottom w:type="dxa" w:w="80"/>
              <w:right w:type="dxa" w:w="120"/>
            </w:tcMar>
          </w:tcPr>
          <w:p>
            <w:pPr>
              <w:spacing w:after="0" w:before="0"/>
            </w:pPr>
            <w:r>
              <w:rPr>
                <w:rFonts w:ascii="Georgia" w:cs="Georgia" w:eastAsia="Georgia" w:hAnsi="Georgia"/>
                <w:b/>
                <w:bCs/>
                <w:color w:val="FFFFFF"/>
                <w:sz w:val="19"/>
                <w:szCs w:val="19"/>
              </w:rPr>
              <w:t xml:space="preserve">Administration</w:t>
            </w:r>
          </w:p>
        </w:tc>
        <w:tc>
          <w:tcPr>
            <w:tcW w:type="dxa" w:w="7260"/>
            <w:tcBorders>
              <w:top w:val="single" w:color="B0B8C8" w:sz="4"/>
              <w:left w:val="single" w:color="B0B8C8" w:sz="4"/>
              <w:bottom w:val="single" w:color="B0B8C8" w:sz="4"/>
              <w:right w:val="single" w:color="B0B8C8" w:sz="4"/>
            </w:tcBorders>
            <w:shd w:fill="0D1B3E" w:val="clear"/>
            <w:tcMar>
              <w:top w:type="dxa" w:w="80"/>
              <w:left w:type="dxa" w:w="120"/>
              <w:bottom w:type="dxa" w:w="80"/>
              <w:right w:type="dxa" w:w="120"/>
            </w:tcMar>
          </w:tcPr>
          <w:p>
            <w:pPr>
              <w:spacing w:after="0" w:before="0"/>
            </w:pPr>
            <w:r>
              <w:rPr>
                <w:rFonts w:ascii="Arial" w:cs="Arial" w:eastAsia="Arial" w:hAnsi="Arial"/>
                <w:color w:val="FFFFFF"/>
                <w:sz w:val="18"/>
                <w:szCs w:val="18"/>
              </w:rPr>
              <w:t xml:space="preserve"/>
            </w:r>
          </w:p>
        </w:tc>
      </w:tr>
      <w:tr>
        <w:tc>
          <w:tcPr>
            <w:tcW w:type="dxa" w:w="18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Contingency reserve (10% of total expenditure)</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w:t>
            </w:r>
          </w:p>
        </w:tc>
        <w:tc>
          <w:tcPr>
            <w:tcW w:type="dxa" w:w="110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w:t>
            </w:r>
          </w:p>
        </w:tc>
        <w:tc>
          <w:tcPr>
            <w:tcW w:type="dxa" w:w="1660"/>
            <w:tcBorders>
              <w:top w:val="single" w:color="B0B8C8" w:sz="4"/>
              <w:left w:val="single" w:color="B0B8C8" w:sz="4"/>
              <w:bottom w:val="single" w:color="B0B8C8" w:sz="4"/>
              <w:right w:val="single" w:color="B0B8C8" w:sz="4"/>
            </w:tcBorders>
            <w:shd w:fill="E8ECF2"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6,000</w:t>
            </w:r>
          </w:p>
        </w:tc>
      </w:tr>
      <w:tr>
        <w:tc>
          <w:tcPr>
            <w:tcW w:type="dxa" w:w="18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
            </w:r>
          </w:p>
        </w:tc>
        <w:tc>
          <w:tcPr>
            <w:tcW w:type="dxa" w:w="34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Appraisal report production — printing, binding</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center"/>
            </w:pPr>
            <w:r>
              <w:rPr>
                <w:rFonts w:ascii="Arial" w:cs="Arial" w:eastAsia="Arial" w:hAnsi="Arial"/>
                <w:color w:val="1A1A2E"/>
                <w:sz w:val="18"/>
                <w:szCs w:val="18"/>
              </w:rPr>
              <w:t xml:space="preserve">2</w:t>
            </w:r>
          </w:p>
        </w:tc>
        <w:tc>
          <w:tcPr>
            <w:tcW w:type="dxa" w:w="110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color w:val="1A1A2E"/>
                <w:sz w:val="18"/>
                <w:szCs w:val="18"/>
              </w:rPr>
              <w:t xml:space="preserve">INR 500</w:t>
            </w:r>
          </w:p>
        </w:tc>
        <w:tc>
          <w:tcPr>
            <w:tcW w:type="dxa" w:w="1660"/>
            <w:tcBorders>
              <w:top w:val="single" w:color="B0B8C8" w:sz="4"/>
              <w:left w:val="single" w:color="B0B8C8" w:sz="4"/>
              <w:bottom w:val="single" w:color="B0B8C8" w:sz="4"/>
              <w:right w:val="single" w:color="B0B8C8" w:sz="4"/>
            </w:tcBorders>
            <w:shd w:fill="FFFFFF" w:val="clear"/>
            <w:tcMar>
              <w:top w:type="dxa" w:w="80"/>
              <w:left w:type="dxa" w:w="120"/>
              <w:bottom w:type="dxa" w:w="80"/>
              <w:right w:type="dxa" w:w="120"/>
            </w:tcMar>
          </w:tcPr>
          <w:p>
            <w:pPr>
              <w:spacing w:after="0" w:before="0"/>
              <w:jc w:val="right"/>
            </w:pPr>
            <w:r>
              <w:rPr>
                <w:rFonts w:ascii="Arial" w:cs="Arial" w:eastAsia="Arial" w:hAnsi="Arial"/>
                <w:b/>
                <w:bCs/>
                <w:color w:val="0D1B3E"/>
                <w:sz w:val="18"/>
                <w:szCs w:val="18"/>
              </w:rPr>
              <w:t xml:space="preserve">INR 1,000</w:t>
            </w:r>
          </w:p>
        </w:tc>
      </w:tr>
    </w:tbl>
    <w:p>
      <w:pPr>
        <w:spacing w:after="0" w:before="60"/>
      </w:pPr>
      <w:r>
        <w:t xml:space="preserve"/>
      </w:r>
    </w:p>
    <w:p>
      <w:pPr>
        <w:spacing w:after="80" w:before="60"/>
        <w:jc w:val="both"/>
      </w:pPr>
      <w:r>
        <w:rPr>
          <w:rFonts w:ascii="Arial" w:cs="Arial" w:eastAsia="Arial" w:hAnsi="Arial"/>
          <w:b/>
          <w:bCs/>
          <w:color w:val="0D1B3E"/>
          <w:sz w:val="21"/>
          <w:szCs w:val="21"/>
        </w:rPr>
        <w:t xml:space="preserve">Total Projected Expenditure: </w:t>
      </w:r>
      <w:r>
        <w:rPr>
          <w:rFonts w:ascii="Arial" w:cs="Arial" w:eastAsia="Arial" w:hAnsi="Arial"/>
          <w:color w:val="1A1A2E"/>
          <w:sz w:val="21"/>
          <w:szCs w:val="21"/>
        </w:rPr>
        <w:t xml:space="preserve">INR 62,900  (including INR 6,000 contingency reserve)</w:t>
      </w:r>
    </w:p>
    <w:p>
      <w:pPr>
        <w:spacing w:after="0" w:before="180"/>
      </w:pPr>
      <w:r>
        <w:t xml:space="preserve"/>
      </w:r>
    </w:p>
    <w:p>
      <w:pPr>
        <w:spacing w:after="60" w:before="300"/>
      </w:pPr>
      <w:r>
        <w:rPr>
          <w:rFonts w:ascii="Georgia" w:cs="Georgia" w:eastAsia="Georgia" w:hAnsi="Georgia"/>
          <w:color w:val="B0B8C8"/>
          <w:sz w:val="24"/>
          <w:szCs w:val="24"/>
        </w:rPr>
        <w:t xml:space="preserve">04  </w:t>
      </w:r>
      <w:r>
        <w:rPr>
          <w:rFonts w:ascii="Georgia" w:cs="Georgia" w:eastAsia="Georgia" w:hAnsi="Georgia"/>
          <w:b/>
          <w:bCs/>
          <w:color w:val="0D1B3E"/>
          <w:sz w:val="27"/>
          <w:szCs w:val="27"/>
        </w:rPr>
        <w:t xml:space="preserve">Financial Controls &amp; Compliance</w:t>
      </w:r>
    </w:p>
    <w:p>
      <w:pPr>
        <w:pBdr>
          <w:bottom w:val="single" w:color="0D1B3E" w:sz="6" w:space="1"/>
        </w:pBdr>
        <w:spacing w:after="140" w:before="40"/>
      </w:pPr>
    </w:p>
    <w:p>
      <w:pPr>
        <w:pStyle w:val="ListParagraph"/>
        <w:numPr>
          <w:ilvl w:val="0"/>
          <w:numId w:val="2"/>
        </w:numPr>
        <w:spacing w:after="50" w:before="50"/>
      </w:pPr>
      <w:r>
        <w:rPr>
          <w:rFonts w:ascii="Arial" w:cs="Arial" w:eastAsia="Arial" w:hAnsi="Arial"/>
          <w:color w:val="1A1A2E"/>
          <w:sz w:val="21"/>
          <w:szCs w:val="21"/>
        </w:rPr>
        <w:t xml:space="preserve">No member may make any payment or financial commitment without express written SLO approval.</w:t>
      </w:r>
    </w:p>
    <w:p>
      <w:pPr>
        <w:pStyle w:val="ListParagraph"/>
        <w:numPr>
          <w:ilvl w:val="0"/>
          <w:numId w:val="2"/>
        </w:numPr>
        <w:spacing w:after="50" w:before="50"/>
      </w:pPr>
      <w:r>
        <w:rPr>
          <w:rFonts w:ascii="Arial" w:cs="Arial" w:eastAsia="Arial" w:hAnsi="Arial"/>
          <w:color w:val="1A1A2E"/>
          <w:sz w:val="21"/>
          <w:szCs w:val="21"/>
        </w:rPr>
        <w:t xml:space="preserve">All expenditure submissions signed by the President and filed by the Treasurer / Financial Officer.</w:t>
      </w:r>
    </w:p>
    <w:p>
      <w:pPr>
        <w:pStyle w:val="ListParagraph"/>
        <w:numPr>
          <w:ilvl w:val="0"/>
          <w:numId w:val="2"/>
        </w:numPr>
        <w:spacing w:after="50" w:before="50"/>
      </w:pPr>
      <w:r>
        <w:rPr>
          <w:rFonts w:ascii="Arial" w:cs="Arial" w:eastAsia="Arial" w:hAnsi="Arial"/>
          <w:color w:val="1A1A2E"/>
          <w:sz w:val="21"/>
          <w:szCs w:val="21"/>
        </w:rPr>
        <w:t xml:space="preserve">Receipts submitted within 10 working days; personal expenses not accepted.</w:t>
      </w:r>
    </w:p>
    <w:p>
      <w:pPr>
        <w:pStyle w:val="ListParagraph"/>
        <w:numPr>
          <w:ilvl w:val="0"/>
          <w:numId w:val="2"/>
        </w:numPr>
        <w:spacing w:after="50" w:before="50"/>
      </w:pPr>
      <w:r>
        <w:rPr>
          <w:rFonts w:ascii="Arial" w:cs="Arial" w:eastAsia="Arial" w:hAnsi="Arial"/>
          <w:color w:val="1A1A2E"/>
          <w:sz w:val="21"/>
          <w:szCs w:val="21"/>
        </w:rPr>
        <w:t xml:space="preserve">Contingency reserve may only be drawn with specific SLO approval for each use.</w:t>
      </w:r>
    </w:p>
    <w:p>
      <w:pPr>
        <w:pStyle w:val="ListParagraph"/>
        <w:numPr>
          <w:ilvl w:val="0"/>
          <w:numId w:val="2"/>
        </w:numPr>
        <w:spacing w:after="50" w:before="50"/>
      </w:pPr>
      <w:r>
        <w:rPr>
          <w:rFonts w:ascii="Arial" w:cs="Arial" w:eastAsia="Arial" w:hAnsi="Arial"/>
          <w:color w:val="1A1A2E"/>
          <w:sz w:val="21"/>
          <w:szCs w:val="21"/>
        </w:rPr>
        <w:t xml:space="preserve">A complete financial ledger will be submitted to the Student Life Office at the end of each appraisal cycle.</w:t>
      </w:r>
    </w:p>
    <w:p>
      <w:pPr>
        <w:pStyle w:val="ListParagraph"/>
        <w:numPr>
          <w:ilvl w:val="0"/>
          <w:numId w:val="2"/>
        </w:numPr>
        <w:spacing w:after="50" w:before="50"/>
      </w:pPr>
      <w:r>
        <w:rPr>
          <w:rFonts w:ascii="Arial" w:cs="Arial" w:eastAsia="Arial" w:hAnsi="Arial"/>
          <w:color w:val="1A1A2E"/>
          <w:sz w:val="21"/>
          <w:szCs w:val="21"/>
        </w:rPr>
        <w:t xml:space="preserve">Any variance of more than 15% from a line item will be flagged to the SLO in advance.</w:t>
      </w:r>
    </w:p>
    <w:p>
      <w:pPr>
        <w:spacing w:after="0" w:before="80"/>
      </w:pPr>
      <w:r>
        <w:t xml:space="preserve"/>
      </w:r>
    </w:p>
    <w:p>
      <w:pPr>
        <w:spacing w:after="80" w:before="60"/>
        <w:jc w:val="both"/>
      </w:pPr>
      <w:r>
        <w:rPr>
          <w:rFonts w:ascii="Arial" w:cs="Arial" w:eastAsia="Arial" w:hAnsi="Arial"/>
          <w:color w:val="1A1A2E"/>
          <w:sz w:val="21"/>
          <w:szCs w:val="21"/>
        </w:rPr>
        <w:t xml:space="preserve">All projected figures are estimates prepared in good faith. Actual income and expenditure will be tracked monthly and reported in full at Appraisal I (November 2026) and Appraisal II (April 2027).</w:t>
      </w:r>
    </w:p>
    <w:p>
      <w:pPr>
        <w:spacing w:after="0" w:before="200"/>
      </w:pPr>
      <w:r>
        <w:t xml:space="preserve"/>
      </w:r>
    </w:p>
    <w:p>
      <w:pPr>
        <w:pBdr>
          <w:top w:val="single" w:color="B0B8C8" w:sz="4" w:space="4"/>
        </w:pBdr>
        <w:spacing w:after="0" w:before="160"/>
        <w:jc w:val="center"/>
      </w:pPr>
      <w:r>
        <w:rPr>
          <w:rFonts w:ascii="Georgia" w:cs="Georgia" w:eastAsia="Georgia" w:hAnsi="Georgia"/>
          <w:i/>
          <w:iCs/>
          <w:color w:val="8A9BB5"/>
          <w:sz w:val="17"/>
          <w:szCs w:val="17"/>
        </w:rPr>
        <w:t xml:space="preserve">Ashoka NextGen Leaders  ·  Year 1 Budget Plan  ·  April 2026</w:t>
      </w:r>
    </w:p>
    <w:sectPr>
      <w:headerReference w:type="default" r:id="rId7"/>
      <w:footerReference w:type="default" r:id="rId8"/>
      <w:pgSz w:w="11906" w:h="16838" w:orient="portrait"/>
      <w:pgMar w:top="1200" w:right="1280" w:bottom="1200" w:left="12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0B8C8" w:sz="4" w:space="4"/>
      </w:pBdr>
      <w:tabs>
        <w:tab w:val="right" w:pos="8946"/>
      </w:tabs>
      <w:spacing w:after="0" w:before="80"/>
    </w:pPr>
    <w:r>
      <w:rPr>
        <w:rFonts w:ascii="Arial" w:cs="Arial" w:eastAsia="Arial" w:hAnsi="Arial"/>
        <w:color w:val="8A9BB5"/>
        <w:sz w:val="15"/>
        <w:szCs w:val="15"/>
      </w:rPr>
      <w:t xml:space="preserve">Budget Plan · 2026–27</w:t>
    </w:r>
    <w:r>
      <w:rPr>
        <w:rFonts w:ascii="Arial" w:cs="Arial" w:eastAsia="Arial" w:hAnsi="Arial"/>
        <w:i/>
        <w:iCs/>
        <w:color w:val="8A9BB5"/>
        <w:sz w:val="15"/>
        <w:szCs w:val="15"/>
      </w:rPr>
      <w:t xml:space="preserve">	Suryansh Dalmia &amp; Madhav Wadhwani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D1B3E" w:sz="5" w:space="4"/>
      </w:pBdr>
      <w:tabs>
        <w:tab w:val="right" w:pos="8946"/>
      </w:tabs>
      <w:spacing w:after="100" w:before="0"/>
    </w:pPr>
    <w:r>
      <w:rPr>
        <w:rFonts w:ascii="Georgia" w:cs="Georgia" w:eastAsia="Georgia" w:hAnsi="Georgia"/>
        <w:b/>
        <w:bCs/>
        <w:color w:val="0D1B3E"/>
        <w:sz w:val="18"/>
        <w:szCs w:val="18"/>
      </w:rPr>
      <w:t xml:space="preserve">Ashoka NextGen Leaders</w:t>
    </w:r>
    <w:r>
      <w:rPr>
        <w:rFonts w:ascii="Arial" w:cs="Arial" w:eastAsia="Arial" w:hAnsi="Arial"/>
        <w:i/>
        <w:iCs/>
        <w:color w:val="8A9BB5"/>
        <w:sz w:val="17"/>
        <w:szCs w:val="17"/>
      </w:rPr>
      <w:t xml:space="preserve">	Year 1 Budget Plan  ·  April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spacing w:after="50" w:before="50"/>
        <w:ind w:left="600" w:hanging="300"/>
      </w:pPr>
      <w:rPr>
        <w:rFonts w:ascii="Arial" w:cs="Arial" w:eastAsia="Arial" w:hAnsi="Arial"/>
        <w:color w:val="0D1B3E"/>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bfbdbffd70971d01676413d0fc9830729eaf8e46.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2026-04-21T05:22:45.929Z</dcterms:created>
  <dcterms:modified xsi:type="dcterms:W3CDTF">2026-04-21T05:22:45.929Z</dcterms:modified>
</cp:coreProperties>
</file>

<file path=docProps/custom.xml><?xml version="1.0" encoding="utf-8"?>
<Properties xmlns="http://schemas.openxmlformats.org/officeDocument/2006/custom-properties" xmlns:vt="http://schemas.openxmlformats.org/officeDocument/2006/docPropsVTypes"/>
</file>