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80" w:before="0"/>
        <w:jc w:val="center"/>
      </w:pPr>
      <w:r>
        <w:drawing>
          <wp:inline distT="0" distB="0" distL="0" distR="0">
            <wp:extent cx="85725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57250" cy="857250"/>
                    </a:xfrm>
                    <a:prstGeom prst="rect">
                      <a:avLst/>
                    </a:prstGeom>
                  </pic:spPr>
                </pic:pic>
              </a:graphicData>
            </a:graphic>
          </wp:inline>
        </w:drawing>
      </w:r>
    </w:p>
    <w:p>
      <w:pPr>
        <w:spacing w:after="60" w:before="0"/>
        <w:jc w:val="center"/>
      </w:pPr>
      <w:r>
        <w:rPr>
          <w:rFonts w:ascii="Georgia" w:cs="Georgia" w:eastAsia="Georgia" w:hAnsi="Georgia"/>
          <w:b/>
          <w:bCs/>
          <w:color w:val="0D1B3E"/>
          <w:sz w:val="48"/>
          <w:szCs w:val="48"/>
        </w:rPr>
        <w:t xml:space="preserve">ASHOKA NEXTGEN LEADERS</w:t>
      </w:r>
    </w:p>
    <w:p>
      <w:pPr>
        <w:pBdr>
          <w:bottom w:val="single" w:color="B0B8C8" w:sz="4" w:space="4"/>
        </w:pBdr>
        <w:spacing w:after="300" w:before="0"/>
        <w:jc w:val="center"/>
      </w:pPr>
      <w:r>
        <w:rPr>
          <w:rFonts w:ascii="Georgia" w:cs="Georgia" w:eastAsia="Georgia" w:hAnsi="Georgia"/>
          <w:i/>
          <w:iCs/>
          <w:color w:val="8A9BB5"/>
          <w:sz w:val="22"/>
          <w:szCs w:val="22"/>
        </w:rPr>
        <w:t xml:space="preserve">Where Legacy Meets Critical Thinking</w:t>
      </w:r>
    </w:p>
    <w:p>
      <w:pPr>
        <w:spacing w:after="0" w:before="220"/>
      </w:pPr>
      <w:r>
        <w:t xml:space="preserve"/>
      </w:r>
    </w:p>
    <w:p>
      <w:pPr>
        <w:spacing w:after="60" w:before="0"/>
        <w:jc w:val="center"/>
      </w:pPr>
      <w:r>
        <w:rPr>
          <w:rFonts w:ascii="Georgia" w:cs="Georgia" w:eastAsia="Georgia" w:hAnsi="Georgia"/>
          <w:b/>
          <w:bCs/>
          <w:color w:val="0D1B3E"/>
          <w:sz w:val="32"/>
          <w:szCs w:val="32"/>
        </w:rPr>
        <w:t xml:space="preserve">YEAR 1 PROGRAMMING CALENDAR</w:t>
      </w:r>
    </w:p>
    <w:p>
      <w:pPr>
        <w:spacing w:after="60" w:before="0"/>
        <w:jc w:val="center"/>
      </w:pPr>
      <w:r>
        <w:rPr>
          <w:rFonts w:ascii="Arial" w:cs="Arial" w:eastAsia="Arial" w:hAnsi="Arial"/>
          <w:i/>
          <w:iCs/>
          <w:color w:val="8A9BB5"/>
          <w:sz w:val="21"/>
          <w:szCs w:val="21"/>
        </w:rPr>
        <w:t xml:space="preserve">Academic Year 2026–27  ·  Semester 1: September – December 2026</w:t>
      </w:r>
    </w:p>
    <w:p>
      <w:pPr>
        <w:spacing w:after="40" w:before="0"/>
        <w:jc w:val="center"/>
      </w:pPr>
      <w:r>
        <w:rPr>
          <w:rFonts w:ascii="Arial" w:cs="Arial" w:eastAsia="Arial" w:hAnsi="Arial"/>
          <w:color w:val="1A1A2E"/>
          <w:sz w:val="20"/>
          <w:szCs w:val="20"/>
        </w:rPr>
        <w:t xml:space="preserve">Submitted to: Student Life Office, Ashoka University</w:t>
      </w:r>
    </w:p>
    <w:p>
      <w:pPr>
        <w:spacing w:after="0" w:before="0"/>
        <w:jc w:val="center"/>
      </w:pPr>
      <w:r>
        <w:rPr>
          <w:rFonts w:ascii="Arial" w:cs="Arial" w:eastAsia="Arial" w:hAnsi="Arial"/>
          <w:color w:val="1A1A2E"/>
          <w:sz w:val="20"/>
          <w:szCs w:val="20"/>
        </w:rPr>
        <w:t xml:space="preserve">Prepared by: Suryansh Dalmia &amp; Madhav Wadhwani  ·  April 2026</w:t>
      </w:r>
    </w:p>
    <w:p>
      <w:pPr>
        <w:spacing w:after="0" w:before="200"/>
      </w:pPr>
      <w:r>
        <w:t xml:space="preserve"/>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9060"/>
      </w:tblGrid>
      <w:tr>
        <w:tc>
          <w:tcPr>
            <w:tcW w:type="dxa" w:w="9060"/>
            <w:tcBorders>
              <w:top w:val="single" w:color="0D1B3E" w:sz="4"/>
              <w:left w:val="single" w:color="0D1B3E" w:sz="4"/>
              <w:bottom w:val="single" w:color="0D1B3E" w:sz="4"/>
              <w:right w:val="single" w:color="0D1B3E" w:sz="4"/>
            </w:tcBorders>
            <w:shd w:fill="E8ECF2" w:val="clear"/>
            <w:tcMar>
              <w:top w:type="dxa" w:w="160"/>
              <w:left w:type="dxa" w:w="260"/>
              <w:bottom w:type="dxa" w:w="160"/>
              <w:right w:type="dxa" w:w="260"/>
            </w:tcMar>
          </w:tcPr>
          <w:p>
            <w:pPr>
              <w:spacing w:after="80" w:before="0"/>
            </w:pPr>
            <w:r>
              <w:rPr>
                <w:rFonts w:ascii="Georgia" w:cs="Georgia" w:eastAsia="Georgia" w:hAnsi="Georgia"/>
                <w:b/>
                <w:bCs/>
                <w:color w:val="0D1B3E"/>
                <w:sz w:val="21"/>
                <w:szCs w:val="21"/>
              </w:rPr>
              <w:t xml:space="preserve">Notes on this Calendar</w:t>
            </w:r>
          </w:p>
          <w:p>
            <w:pPr>
              <w:spacing w:after="50" w:before="0"/>
            </w:pPr>
            <w:r>
              <w:rPr>
                <w:rFonts w:ascii="Arial" w:cs="Arial" w:eastAsia="Arial" w:hAnsi="Arial"/>
                <w:i/>
                <w:iCs/>
                <w:color w:val="1A1A2E"/>
                <w:sz w:val="19"/>
                <w:szCs w:val="19"/>
              </w:rPr>
              <w:t xml:space="preserve">All events are subject to prior approval by the Student Life Office and the faculty advisor. Large-scale events and off-campus activities will be submitted for approval well in advance. This calendar is indicative and will be shared formally with the Student Life Office at the start of each semester as required by policy.</w:t>
            </w:r>
          </w:p>
          <w:p>
            <w:pPr>
              <w:spacing w:after="0" w:before="0"/>
            </w:pPr>
            <w:r>
              <w:rPr>
                <w:rFonts w:ascii="Arial" w:cs="Arial" w:eastAsia="Arial" w:hAnsi="Arial"/>
                <w:i/>
                <w:iCs/>
                <w:color w:val="1A1A2E"/>
                <w:sz w:val="19"/>
                <w:szCs w:val="19"/>
              </w:rPr>
              <w:t xml:space="preserve">Semester 2 (January–April 2027) calendar will be submitted separately at the start of that semester.</w:t>
            </w:r>
          </w:p>
        </w:tc>
      </w:tr>
    </w:tbl>
    <w:p>
      <w:pPr>
        <w:spacing w:after="0" w:before="180"/>
      </w:pPr>
      <w:r>
        <w:t xml:space="preserve"/>
      </w:r>
    </w:p>
    <w:p>
      <w:pPr>
        <w:spacing w:after="50" w:before="160"/>
      </w:pPr>
      <w:r>
        <w:rPr>
          <w:rFonts w:ascii="Georgia" w:cs="Georgia" w:eastAsia="Georgia" w:hAnsi="Georgia"/>
          <w:b/>
          <w:bCs/>
          <w:color w:val="0D1B3E"/>
          <w:sz w:val="22"/>
          <w:szCs w:val="22"/>
        </w:rPr>
        <w:t xml:space="preserve">Vertical Colour Key</w:t>
      </w:r>
    </w:p>
    <w:p>
      <w:pPr>
        <w:spacing w:after="0" w:before="60"/>
      </w:pPr>
      <w:r>
        <w:t xml:space="preserve"/>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510"/>
        <w:gridCol w:w="1510"/>
        <w:gridCol w:w="1510"/>
        <w:gridCol w:w="1510"/>
        <w:gridCol w:w="1510"/>
        <w:gridCol w:w="1510"/>
      </w:tblGrid>
      <w:tr>
        <w:tc>
          <w:tcPr>
            <w:tcW w:type="dxa" w:w="1510"/>
            <w:tcBorders>
              <w:top w:val="single" w:color="B0B8C8" w:sz="4"/>
              <w:left w:val="single" w:color="B0B8C8" w:sz="4"/>
              <w:bottom w:val="single" w:color="B0B8C8" w:sz="4"/>
              <w:right w:val="single" w:color="B0B8C8" w:sz="4"/>
            </w:tcBorders>
            <w:shd w:fill="EEF0F8" w:val="clear"/>
            <w:tcMar>
              <w:top w:type="dxa" w:w="80"/>
              <w:left w:type="dxa" w:w="120"/>
              <w:bottom w:type="dxa" w:w="80"/>
              <w:right w:type="dxa" w:w="120"/>
            </w:tcMar>
          </w:tcPr>
          <w:p>
            <w:pPr>
              <w:spacing w:after="0" w:before="0"/>
              <w:jc w:val="center"/>
            </w:pPr>
            <w:r>
              <w:rPr>
                <w:rFonts w:ascii="Arial" w:cs="Arial" w:eastAsia="Arial" w:hAnsi="Arial"/>
                <w:b/>
                <w:bCs/>
                <w:color w:val="0D1B3E"/>
                <w:sz w:val="18"/>
                <w:szCs w:val="18"/>
              </w:rPr>
              <w:t xml:space="preserve">Governance</w:t>
            </w:r>
          </w:p>
        </w:tc>
        <w:tc>
          <w:tcPr>
            <w:tcW w:type="dxa" w:w="1510"/>
            <w:tcBorders>
              <w:top w:val="single" w:color="B0B8C8" w:sz="4"/>
              <w:left w:val="single" w:color="B0B8C8" w:sz="4"/>
              <w:bottom w:val="single" w:color="B0B8C8" w:sz="4"/>
              <w:right w:val="single" w:color="B0B8C8" w:sz="4"/>
            </w:tcBorders>
            <w:shd w:fill="F0EEF8" w:val="clear"/>
            <w:tcMar>
              <w:top w:type="dxa" w:w="80"/>
              <w:left w:type="dxa" w:w="120"/>
              <w:bottom w:type="dxa" w:w="80"/>
              <w:right w:type="dxa" w:w="120"/>
            </w:tcMar>
          </w:tcPr>
          <w:p>
            <w:pPr>
              <w:spacing w:after="0" w:before="0"/>
              <w:jc w:val="center"/>
            </w:pPr>
            <w:r>
              <w:rPr>
                <w:rFonts w:ascii="Arial" w:cs="Arial" w:eastAsia="Arial" w:hAnsi="Arial"/>
                <w:b/>
                <w:bCs/>
                <w:color w:val="0D1B3E"/>
                <w:sz w:val="18"/>
                <w:szCs w:val="18"/>
              </w:rPr>
              <w:t xml:space="preserve">Legacy</w:t>
            </w:r>
          </w:p>
        </w:tc>
        <w:tc>
          <w:tcPr>
            <w:tcW w:type="dxa" w:w="1510"/>
            <w:tcBorders>
              <w:top w:val="single" w:color="B0B8C8" w:sz="4"/>
              <w:left w:val="single" w:color="B0B8C8" w:sz="4"/>
              <w:bottom w:val="single" w:color="B0B8C8" w:sz="4"/>
              <w:right w:val="single" w:color="B0B8C8" w:sz="4"/>
            </w:tcBorders>
            <w:shd w:fill="EEF5EE" w:val="clear"/>
            <w:tcMar>
              <w:top w:type="dxa" w:w="80"/>
              <w:left w:type="dxa" w:w="120"/>
              <w:bottom w:type="dxa" w:w="80"/>
              <w:right w:type="dxa" w:w="120"/>
            </w:tcMar>
          </w:tcPr>
          <w:p>
            <w:pPr>
              <w:spacing w:after="0" w:before="0"/>
              <w:jc w:val="center"/>
            </w:pPr>
            <w:r>
              <w:rPr>
                <w:rFonts w:ascii="Arial" w:cs="Arial" w:eastAsia="Arial" w:hAnsi="Arial"/>
                <w:b/>
                <w:bCs/>
                <w:color w:val="0D1B3E"/>
                <w:sz w:val="18"/>
                <w:szCs w:val="18"/>
              </w:rPr>
              <w:t xml:space="preserve">Innovation</w:t>
            </w:r>
          </w:p>
        </w:tc>
        <w:tc>
          <w:tcPr>
            <w:tcW w:type="dxa" w:w="1510"/>
            <w:tcBorders>
              <w:top w:val="single" w:color="B0B8C8" w:sz="4"/>
              <w:left w:val="single" w:color="B0B8C8" w:sz="4"/>
              <w:bottom w:val="single" w:color="B0B8C8" w:sz="4"/>
              <w:right w:val="single" w:color="B0B8C8" w:sz="4"/>
            </w:tcBorders>
            <w:shd w:fill="FFF8EE" w:val="clear"/>
            <w:tcMar>
              <w:top w:type="dxa" w:w="80"/>
              <w:left w:type="dxa" w:w="120"/>
              <w:bottom w:type="dxa" w:w="80"/>
              <w:right w:type="dxa" w:w="120"/>
            </w:tcMar>
          </w:tcPr>
          <w:p>
            <w:pPr>
              <w:spacing w:after="0" w:before="0"/>
              <w:jc w:val="center"/>
            </w:pPr>
            <w:r>
              <w:rPr>
                <w:rFonts w:ascii="Arial" w:cs="Arial" w:eastAsia="Arial" w:hAnsi="Arial"/>
                <w:b/>
                <w:bCs/>
                <w:color w:val="0D1B3E"/>
                <w:sz w:val="18"/>
                <w:szCs w:val="18"/>
              </w:rPr>
              <w:t xml:space="preserve">Community</w:t>
            </w:r>
          </w:p>
        </w:tc>
        <w:tc>
          <w:tcPr>
            <w:tcW w:type="dxa" w:w="1510"/>
            <w:tcBorders>
              <w:top w:val="single" w:color="B0B8C8" w:sz="4"/>
              <w:left w:val="single" w:color="B0B8C8" w:sz="4"/>
              <w:bottom w:val="single" w:color="B0B8C8" w:sz="4"/>
              <w:right w:val="single" w:color="B0B8C8" w:sz="4"/>
            </w:tcBorders>
            <w:shd w:fill="F8EEEE" w:val="clear"/>
            <w:tcMar>
              <w:top w:type="dxa" w:w="80"/>
              <w:left w:type="dxa" w:w="120"/>
              <w:bottom w:type="dxa" w:w="80"/>
              <w:right w:type="dxa" w:w="120"/>
            </w:tcMar>
          </w:tcPr>
          <w:p>
            <w:pPr>
              <w:spacing w:after="0" w:before="0"/>
              <w:jc w:val="center"/>
            </w:pPr>
            <w:r>
              <w:rPr>
                <w:rFonts w:ascii="Arial" w:cs="Arial" w:eastAsia="Arial" w:hAnsi="Arial"/>
                <w:b/>
                <w:bCs/>
                <w:color w:val="0D1B3E"/>
                <w:sz w:val="18"/>
                <w:szCs w:val="18"/>
              </w:rPr>
              <w:t xml:space="preserve">Outreach</w:t>
            </w:r>
          </w:p>
        </w:tc>
        <w:tc>
          <w:tcPr>
            <w:tcW w:type="dxa" w:w="151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b/>
                <w:bCs/>
                <w:color w:val="0D1B3E"/>
                <w:sz w:val="18"/>
                <w:szCs w:val="18"/>
              </w:rPr>
              <w:t xml:space="preserve">Mandatory / Cross-club</w:t>
            </w:r>
          </w:p>
        </w:tc>
      </w:tr>
    </w:tbl>
    <w:p>
      <w:pPr>
        <w:spacing w:after="0" w:before="60"/>
      </w:pPr>
      <w:r>
        <w:t xml:space="preserve"/>
      </w:r>
    </w:p>
    <w:p>
      <w:pPr>
        <w:spacing w:after="80" w:before="60"/>
        <w:jc w:val="both"/>
      </w:pPr>
      <w:r>
        <w:rPr>
          <w:rFonts w:ascii="Arial" w:cs="Arial" w:eastAsia="Arial" w:hAnsi="Arial"/>
          <w:color w:val="1A1A2E"/>
          <w:sz w:val="21"/>
          <w:szCs w:val="21"/>
        </w:rPr>
        <w:t xml:space="preserve">Each event is colour-coded by the vertical responsible for it. Cross-club or mandatory events appear in the neutral silver shade.</w:t>
      </w:r>
    </w:p>
    <w:p>
      <w:pPr>
        <w:spacing w:after="0" w:before="180"/>
      </w:pPr>
      <w:r>
        <w:t xml:space="preserve"/>
      </w:r>
    </w:p>
    <w:p>
      <w:pPr>
        <w:spacing w:after="60" w:before="280"/>
      </w:pPr>
      <w:r>
        <w:rPr>
          <w:rFonts w:ascii="Georgia" w:cs="Georgia" w:eastAsia="Georgia" w:hAnsi="Georgia"/>
          <w:b/>
          <w:bCs/>
          <w:color w:val="0D1B3E"/>
          <w:sz w:val="26"/>
          <w:szCs w:val="26"/>
        </w:rPr>
        <w:t xml:space="preserve">September 2026</w:t>
      </w:r>
    </w:p>
    <w:p>
      <w:pPr>
        <w:pBdr>
          <w:bottom w:val="single" w:color="B0B8C8" w:sz="2" w:space="1"/>
        </w:pBdr>
        <w:spacing w:after="100" w:before="60"/>
      </w:pP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1100"/>
        <w:gridCol w:w="2600"/>
        <w:gridCol w:w="1260"/>
        <w:gridCol w:w="1700"/>
      </w:tblGrid>
      <w:tr>
        <w:tc>
          <w:tcPr>
            <w:tcW w:type="dxa" w:w="13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Period</w:t>
            </w:r>
          </w:p>
        </w:tc>
        <w:tc>
          <w:tcPr>
            <w:tcW w:type="dxa" w:w="11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Week</w:t>
            </w:r>
          </w:p>
        </w:tc>
        <w:tc>
          <w:tcPr>
            <w:tcW w:type="dxa" w:w="11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Vertical</w:t>
            </w:r>
          </w:p>
        </w:tc>
        <w:tc>
          <w:tcPr>
            <w:tcW w:type="dxa" w:w="386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Event &amp; Description</w:t>
            </w:r>
          </w:p>
        </w:tc>
        <w:tc>
          <w:tcPr>
            <w:tcW w:type="dxa" w:w="17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Lead</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September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1
1–5 Sep</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Official Club Launch</w:t>
            </w:r>
          </w:p>
          <w:p>
            <w:pPr>
              <w:spacing w:after="0" w:before="0"/>
            </w:pPr>
            <w:r>
              <w:rPr>
                <w:rFonts w:ascii="Arial" w:cs="Arial" w:eastAsia="Arial" w:hAnsi="Arial"/>
                <w:color w:val="1A1A2E"/>
                <w:sz w:val="18"/>
                <w:szCs w:val="18"/>
              </w:rPr>
              <w:t xml:space="preserve">Open launch event for all Ashoka students; membership applications open; club introduction and vision presented by co-founders.</w:t>
            </w:r>
          </w:p>
        </w:tc>
        <w:tc>
          <w:tcPr>
            <w:tcW w:type="dxa" w:w="17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President</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September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1
1–5 Sep</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Clubs &amp; Societies Fair</w:t>
            </w:r>
          </w:p>
          <w:p>
            <w:pPr>
              <w:spacing w:after="0" w:before="0"/>
            </w:pPr>
            <w:r>
              <w:rPr>
                <w:rFonts w:ascii="Arial" w:cs="Arial" w:eastAsia="Arial" w:hAnsi="Arial"/>
                <w:color w:val="1A1A2E"/>
                <w:sz w:val="18"/>
                <w:szCs w:val="18"/>
              </w:rPr>
              <w:t xml:space="preserve">Mandatory participation; club stall, membership drive, and distribution of overview materials.</w:t>
            </w:r>
          </w:p>
        </w:tc>
        <w:tc>
          <w:tcPr>
            <w:tcW w:type="dxa" w:w="17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Community</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September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2
8–12 Sep</w:t>
            </w:r>
          </w:p>
        </w:tc>
        <w:tc>
          <w:tcPr>
            <w:tcW w:type="dxa" w:w="1100"/>
            <w:tcBorders>
              <w:top w:val="single" w:color="B0B8C8" w:sz="4"/>
              <w:left w:val="single" w:color="B0B8C8" w:sz="4"/>
              <w:bottom w:val="single" w:color="B0B8C8" w:sz="4"/>
              <w:right w:val="single" w:color="B0B8C8" w:sz="4"/>
            </w:tcBorders>
            <w:shd w:fill="FFF8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Community</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Member Orientation &amp; Onboarding</w:t>
            </w:r>
          </w:p>
          <w:p>
            <w:pPr>
              <w:spacing w:after="0" w:before="0"/>
            </w:pPr>
            <w:r>
              <w:rPr>
                <w:rFonts w:ascii="Arial" w:cs="Arial" w:eastAsia="Arial" w:hAnsi="Arial"/>
                <w:color w:val="1A1A2E"/>
                <w:sz w:val="18"/>
                <w:szCs w:val="18"/>
              </w:rPr>
              <w:t xml:space="preserve">Welcome session for all new members; overview of five verticals, how to get involved, and Year 1 programming roadmap.</w:t>
            </w:r>
          </w:p>
        </w:tc>
        <w:tc>
          <w:tcPr>
            <w:tcW w:type="dxa" w:w="1700"/>
            <w:tcBorders>
              <w:top w:val="single" w:color="B0B8C8" w:sz="4"/>
              <w:left w:val="single" w:color="B0B8C8" w:sz="4"/>
              <w:bottom w:val="single" w:color="B0B8C8" w:sz="4"/>
              <w:right w:val="single" w:color="B0B8C8" w:sz="4"/>
            </w:tcBorders>
            <w:shd w:fill="FFF8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Community</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September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3
15–19 Sep</w:t>
            </w:r>
          </w:p>
        </w:tc>
        <w:tc>
          <w:tcPr>
            <w:tcW w:type="dxa" w:w="1100"/>
            <w:tcBorders>
              <w:top w:val="single" w:color="B0B8C8" w:sz="4"/>
              <w:left w:val="single" w:color="B0B8C8" w:sz="4"/>
              <w:bottom w:val="single" w:color="B0B8C8" w:sz="4"/>
              <w:right w:val="single" w:color="B0B8C8" w:sz="4"/>
            </w:tcBorders>
            <w:shd w:fill="EEF0F8"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Governance</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Workshop 1 — What Is Family Governance?</w:t>
            </w:r>
          </w:p>
          <w:p>
            <w:pPr>
              <w:spacing w:after="0" w:before="0"/>
            </w:pPr>
            <w:r>
              <w:rPr>
                <w:rFonts w:ascii="Arial" w:cs="Arial" w:eastAsia="Arial" w:hAnsi="Arial"/>
                <w:color w:val="1A1A2E"/>
                <w:sz w:val="18"/>
                <w:szCs w:val="18"/>
              </w:rPr>
              <w:t xml:space="preserve">Introductory workshop on family constitutions, ownership vs. management, and why governance matters in multigenerational businesses.</w:t>
            </w:r>
          </w:p>
        </w:tc>
        <w:tc>
          <w:tcPr>
            <w:tcW w:type="dxa" w:w="1700"/>
            <w:tcBorders>
              <w:top w:val="single" w:color="B0B8C8" w:sz="4"/>
              <w:left w:val="single" w:color="B0B8C8" w:sz="4"/>
              <w:bottom w:val="single" w:color="B0B8C8" w:sz="4"/>
              <w:right w:val="single" w:color="B0B8C8" w:sz="4"/>
            </w:tcBorders>
            <w:shd w:fill="EEF0F8"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Governance</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September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4
22–26 Sep</w:t>
            </w:r>
          </w:p>
        </w:tc>
        <w:tc>
          <w:tcPr>
            <w:tcW w:type="dxa" w:w="1100"/>
            <w:tcBorders>
              <w:top w:val="single" w:color="B0B8C8" w:sz="4"/>
              <w:left w:val="single" w:color="B0B8C8" w:sz="4"/>
              <w:bottom w:val="single" w:color="B0B8C8" w:sz="4"/>
              <w:right w:val="single" w:color="B0B8C8" w:sz="4"/>
            </w:tcBorders>
            <w:shd w:fill="F8EE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Outreach</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Speaker Series — Session 1</w:t>
            </w:r>
          </w:p>
          <w:p>
            <w:pPr>
              <w:spacing w:after="0" w:before="0"/>
            </w:pPr>
            <w:r>
              <w:rPr>
                <w:rFonts w:ascii="Arial" w:cs="Arial" w:eastAsia="Arial" w:hAnsi="Arial"/>
                <w:color w:val="1A1A2E"/>
                <w:sz w:val="18"/>
                <w:szCs w:val="18"/>
              </w:rPr>
              <w:t xml:space="preserve">Termly speaker: founder or successor from a prominent Indian family enterprise. Fireside-style conversation, open to all students.</w:t>
            </w:r>
          </w:p>
        </w:tc>
        <w:tc>
          <w:tcPr>
            <w:tcW w:type="dxa" w:w="1700"/>
            <w:tcBorders>
              <w:top w:val="single" w:color="B0B8C8" w:sz="4"/>
              <w:left w:val="single" w:color="B0B8C8" w:sz="4"/>
              <w:bottom w:val="single" w:color="B0B8C8" w:sz="4"/>
              <w:right w:val="single" w:color="B0B8C8" w:sz="4"/>
            </w:tcBorders>
            <w:shd w:fill="F8EE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Outreach</w:t>
            </w:r>
          </w:p>
        </w:tc>
      </w:tr>
    </w:tbl>
    <w:p>
      <w:pPr>
        <w:spacing w:after="0" w:before="60"/>
      </w:pPr>
      <w:r>
        <w:t xml:space="preserve"/>
      </w:r>
    </w:p>
    <w:p>
      <w:pPr>
        <w:spacing w:after="60" w:before="280"/>
      </w:pPr>
      <w:r>
        <w:rPr>
          <w:rFonts w:ascii="Georgia" w:cs="Georgia" w:eastAsia="Georgia" w:hAnsi="Georgia"/>
          <w:b/>
          <w:bCs/>
          <w:color w:val="0D1B3E"/>
          <w:sz w:val="26"/>
          <w:szCs w:val="26"/>
        </w:rPr>
        <w:t xml:space="preserve">October 2026</w:t>
      </w:r>
    </w:p>
    <w:p>
      <w:pPr>
        <w:pBdr>
          <w:bottom w:val="single" w:color="B0B8C8" w:sz="2" w:space="1"/>
        </w:pBdr>
        <w:spacing w:after="100" w:before="60"/>
      </w:pP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1100"/>
        <w:gridCol w:w="2600"/>
        <w:gridCol w:w="1260"/>
        <w:gridCol w:w="1700"/>
      </w:tblGrid>
      <w:tr>
        <w:tc>
          <w:tcPr>
            <w:tcW w:type="dxa" w:w="13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Period</w:t>
            </w:r>
          </w:p>
        </w:tc>
        <w:tc>
          <w:tcPr>
            <w:tcW w:type="dxa" w:w="11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Week</w:t>
            </w:r>
          </w:p>
        </w:tc>
        <w:tc>
          <w:tcPr>
            <w:tcW w:type="dxa" w:w="11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Vertical</w:t>
            </w:r>
          </w:p>
        </w:tc>
        <w:tc>
          <w:tcPr>
            <w:tcW w:type="dxa" w:w="386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Event &amp; Description</w:t>
            </w:r>
          </w:p>
        </w:tc>
        <w:tc>
          <w:tcPr>
            <w:tcW w:type="dxa" w:w="17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Lead</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October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1
29 Sep–3 Oct</w:t>
            </w:r>
          </w:p>
        </w:tc>
        <w:tc>
          <w:tcPr>
            <w:tcW w:type="dxa" w:w="1100"/>
            <w:tcBorders>
              <w:top w:val="single" w:color="B0B8C8" w:sz="4"/>
              <w:left w:val="single" w:color="B0B8C8" w:sz="4"/>
              <w:bottom w:val="single" w:color="B0B8C8" w:sz="4"/>
              <w:right w:val="single" w:color="B0B8C8" w:sz="4"/>
            </w:tcBorders>
            <w:shd w:fill="F0EEF8"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Legacy</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NextGen Dialogue 1</w:t>
            </w:r>
          </w:p>
          <w:p>
            <w:pPr>
              <w:spacing w:after="0" w:before="0"/>
            </w:pPr>
            <w:r>
              <w:rPr>
                <w:rFonts w:ascii="Arial" w:cs="Arial" w:eastAsia="Arial" w:hAnsi="Arial"/>
                <w:color w:val="1A1A2E"/>
                <w:sz w:val="18"/>
                <w:szCs w:val="18"/>
              </w:rPr>
              <w:t xml:space="preserve">Intimate conversation with a second- or third-generation business leader. Small-group format, curated questions from members.</w:t>
            </w:r>
          </w:p>
        </w:tc>
        <w:tc>
          <w:tcPr>
            <w:tcW w:type="dxa" w:w="1700"/>
            <w:tcBorders>
              <w:top w:val="single" w:color="B0B8C8" w:sz="4"/>
              <w:left w:val="single" w:color="B0B8C8" w:sz="4"/>
              <w:bottom w:val="single" w:color="B0B8C8" w:sz="4"/>
              <w:right w:val="single" w:color="B0B8C8" w:sz="4"/>
            </w:tcBorders>
            <w:shd w:fill="F0EEF8"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Legacy</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October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2
6–10 Oct</w:t>
            </w:r>
          </w:p>
        </w:tc>
        <w:tc>
          <w:tcPr>
            <w:tcW w:type="dxa" w:w="1100"/>
            <w:tcBorders>
              <w:top w:val="single" w:color="B0B8C8" w:sz="4"/>
              <w:left w:val="single" w:color="B0B8C8" w:sz="4"/>
              <w:bottom w:val="single" w:color="B0B8C8" w:sz="4"/>
              <w:right w:val="single" w:color="B0B8C8" w:sz="4"/>
            </w:tcBorders>
            <w:shd w:fill="EEF5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Innovation</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Workshop — Digital Transformation in Legacy Businesses</w:t>
            </w:r>
          </w:p>
          <w:p>
            <w:pPr>
              <w:spacing w:after="0" w:before="0"/>
            </w:pPr>
            <w:r>
              <w:rPr>
                <w:rFonts w:ascii="Arial" w:cs="Arial" w:eastAsia="Arial" w:hAnsi="Arial"/>
                <w:color w:val="1A1A2E"/>
                <w:sz w:val="18"/>
                <w:szCs w:val="18"/>
              </w:rPr>
              <w:t xml:space="preserve">Case-based session exploring how established family firms are navigating technology adoption and professionalisation.</w:t>
            </w:r>
          </w:p>
        </w:tc>
        <w:tc>
          <w:tcPr>
            <w:tcW w:type="dxa" w:w="1700"/>
            <w:tcBorders>
              <w:top w:val="single" w:color="B0B8C8" w:sz="4"/>
              <w:left w:val="single" w:color="B0B8C8" w:sz="4"/>
              <w:bottom w:val="single" w:color="B0B8C8" w:sz="4"/>
              <w:right w:val="single" w:color="B0B8C8" w:sz="4"/>
            </w:tcBorders>
            <w:shd w:fill="EEF5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Innovation</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October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3
13–17 Oct</w:t>
            </w:r>
          </w:p>
        </w:tc>
        <w:tc>
          <w:tcPr>
            <w:tcW w:type="dxa" w:w="1100"/>
            <w:tcBorders>
              <w:top w:val="single" w:color="B0B8C8" w:sz="4"/>
              <w:left w:val="single" w:color="B0B8C8" w:sz="4"/>
              <w:bottom w:val="single" w:color="B0B8C8" w:sz="4"/>
              <w:right w:val="single" w:color="B0B8C8" w:sz="4"/>
            </w:tcBorders>
            <w:shd w:fill="FFF8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Community</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Peer Learning Circle 1</w:t>
            </w:r>
          </w:p>
          <w:p>
            <w:pPr>
              <w:spacing w:after="0" w:before="0"/>
            </w:pPr>
            <w:r>
              <w:rPr>
                <w:rFonts w:ascii="Arial" w:cs="Arial" w:eastAsia="Arial" w:hAnsi="Arial"/>
                <w:color w:val="1A1A2E"/>
                <w:sz w:val="18"/>
                <w:szCs w:val="18"/>
              </w:rPr>
              <w:t xml:space="preserve">Structured small-group discussion session. Members from family business backgrounds share experiences; open reflection format.</w:t>
            </w:r>
          </w:p>
        </w:tc>
        <w:tc>
          <w:tcPr>
            <w:tcW w:type="dxa" w:w="1700"/>
            <w:tcBorders>
              <w:top w:val="single" w:color="B0B8C8" w:sz="4"/>
              <w:left w:val="single" w:color="B0B8C8" w:sz="4"/>
              <w:bottom w:val="single" w:color="B0B8C8" w:sz="4"/>
              <w:right w:val="single" w:color="B0B8C8" w:sz="4"/>
            </w:tcBorders>
            <w:shd w:fill="FFF8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Community</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October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3
13–17 Oct</w:t>
            </w:r>
          </w:p>
        </w:tc>
        <w:tc>
          <w:tcPr>
            <w:tcW w:type="dxa" w:w="1100"/>
            <w:tcBorders>
              <w:top w:val="single" w:color="B0B8C8" w:sz="4"/>
              <w:left w:val="single" w:color="B0B8C8" w:sz="4"/>
              <w:bottom w:val="single" w:color="B0B8C8" w:sz="4"/>
              <w:right w:val="single" w:color="B0B8C8" w:sz="4"/>
            </w:tcBorders>
            <w:shd w:fill="FFF8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Community</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Mentorship Programme Launch</w:t>
            </w:r>
          </w:p>
          <w:p>
            <w:pPr>
              <w:spacing w:after="0" w:before="0"/>
            </w:pPr>
            <w:r>
              <w:rPr>
                <w:rFonts w:ascii="Arial" w:cs="Arial" w:eastAsia="Arial" w:hAnsi="Arial"/>
                <w:color w:val="1A1A2E"/>
                <w:sz w:val="18"/>
                <w:szCs w:val="18"/>
              </w:rPr>
              <w:t xml:space="preserve">Matching of current students with Ashoka alumni who have returned to family enterprises. Kick-off session with paired introductions.</w:t>
            </w:r>
          </w:p>
        </w:tc>
        <w:tc>
          <w:tcPr>
            <w:tcW w:type="dxa" w:w="1700"/>
            <w:tcBorders>
              <w:top w:val="single" w:color="B0B8C8" w:sz="4"/>
              <w:left w:val="single" w:color="B0B8C8" w:sz="4"/>
              <w:bottom w:val="single" w:color="B0B8C8" w:sz="4"/>
              <w:right w:val="single" w:color="B0B8C8" w:sz="4"/>
            </w:tcBorders>
            <w:shd w:fill="FFF8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Community</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October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4
20–24 Oct</w:t>
            </w:r>
          </w:p>
        </w:tc>
        <w:tc>
          <w:tcPr>
            <w:tcW w:type="dxa" w:w="1100"/>
            <w:tcBorders>
              <w:top w:val="single" w:color="B0B8C8" w:sz="4"/>
              <w:left w:val="single" w:color="B0B8C8" w:sz="4"/>
              <w:bottom w:val="single" w:color="B0B8C8" w:sz="4"/>
              <w:right w:val="single" w:color="B0B8C8" w:sz="4"/>
            </w:tcBorders>
            <w:shd w:fill="EEF0F8"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Governance</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Case Study Workshop 1 — 'The Succession Dilemma'</w:t>
            </w:r>
          </w:p>
          <w:p>
            <w:pPr>
              <w:spacing w:after="0" w:before="0"/>
            </w:pPr>
            <w:r>
              <w:rPr>
                <w:rFonts w:ascii="Arial" w:cs="Arial" w:eastAsia="Arial" w:hAnsi="Arial"/>
                <w:color w:val="1A1A2E"/>
                <w:sz w:val="18"/>
                <w:szCs w:val="18"/>
              </w:rPr>
              <w:t xml:space="preserve">Real Indian family business succession case studied in classroom format. Group analysis and structured debrief.</w:t>
            </w:r>
          </w:p>
        </w:tc>
        <w:tc>
          <w:tcPr>
            <w:tcW w:type="dxa" w:w="1700"/>
            <w:tcBorders>
              <w:top w:val="single" w:color="B0B8C8" w:sz="4"/>
              <w:left w:val="single" w:color="B0B8C8" w:sz="4"/>
              <w:bottom w:val="single" w:color="B0B8C8" w:sz="4"/>
              <w:right w:val="single" w:color="B0B8C8" w:sz="4"/>
            </w:tcBorders>
            <w:shd w:fill="EEF0F8"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Governance</w:t>
            </w:r>
          </w:p>
        </w:tc>
      </w:tr>
    </w:tbl>
    <w:p>
      <w:pPr>
        <w:spacing w:after="0" w:before="60"/>
      </w:pPr>
      <w:r>
        <w:t xml:space="preserve"/>
      </w:r>
    </w:p>
    <w:p>
      <w:pPr>
        <w:spacing w:after="60" w:before="280"/>
      </w:pPr>
      <w:r>
        <w:rPr>
          <w:rFonts w:ascii="Georgia" w:cs="Georgia" w:eastAsia="Georgia" w:hAnsi="Georgia"/>
          <w:b/>
          <w:bCs/>
          <w:color w:val="0D1B3E"/>
          <w:sz w:val="26"/>
          <w:szCs w:val="26"/>
        </w:rPr>
        <w:t xml:space="preserve">November 2026</w:t>
      </w:r>
    </w:p>
    <w:p>
      <w:pPr>
        <w:pBdr>
          <w:bottom w:val="single" w:color="B0B8C8" w:sz="2" w:space="1"/>
        </w:pBdr>
        <w:spacing w:after="100" w:before="60"/>
      </w:pP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1100"/>
        <w:gridCol w:w="2600"/>
        <w:gridCol w:w="1260"/>
        <w:gridCol w:w="1700"/>
      </w:tblGrid>
      <w:tr>
        <w:tc>
          <w:tcPr>
            <w:tcW w:type="dxa" w:w="13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Period</w:t>
            </w:r>
          </w:p>
        </w:tc>
        <w:tc>
          <w:tcPr>
            <w:tcW w:type="dxa" w:w="11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Week</w:t>
            </w:r>
          </w:p>
        </w:tc>
        <w:tc>
          <w:tcPr>
            <w:tcW w:type="dxa" w:w="11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Vertical</w:t>
            </w:r>
          </w:p>
        </w:tc>
        <w:tc>
          <w:tcPr>
            <w:tcW w:type="dxa" w:w="386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Event &amp; Description</w:t>
            </w:r>
          </w:p>
        </w:tc>
        <w:tc>
          <w:tcPr>
            <w:tcW w:type="dxa" w:w="17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Lead</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November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1
27–31 Oct</w:t>
            </w:r>
          </w:p>
        </w:tc>
        <w:tc>
          <w:tcPr>
            <w:tcW w:type="dxa" w:w="1100"/>
            <w:tcBorders>
              <w:top w:val="single" w:color="B0B8C8" w:sz="4"/>
              <w:left w:val="single" w:color="B0B8C8" w:sz="4"/>
              <w:bottom w:val="single" w:color="B0B8C8" w:sz="4"/>
              <w:right w:val="single" w:color="B0B8C8" w:sz="4"/>
            </w:tcBorders>
            <w:shd w:fill="F0EEF8"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Legacy</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'Founder to Family' Panel</w:t>
            </w:r>
          </w:p>
          <w:p>
            <w:pPr>
              <w:spacing w:after="0" w:before="0"/>
            </w:pPr>
            <w:r>
              <w:rPr>
                <w:rFonts w:ascii="Arial" w:cs="Arial" w:eastAsia="Arial" w:hAnsi="Arial"/>
                <w:color w:val="1A1A2E"/>
                <w:sz w:val="18"/>
                <w:szCs w:val="18"/>
              </w:rPr>
              <w:t xml:space="preserve">Panel tracing the transition from founder-led to institutionalised enterprise. 2–3 panellists across generations of a single business.</w:t>
            </w:r>
          </w:p>
        </w:tc>
        <w:tc>
          <w:tcPr>
            <w:tcW w:type="dxa" w:w="1700"/>
            <w:tcBorders>
              <w:top w:val="single" w:color="B0B8C8" w:sz="4"/>
              <w:left w:val="single" w:color="B0B8C8" w:sz="4"/>
              <w:bottom w:val="single" w:color="B0B8C8" w:sz="4"/>
              <w:right w:val="single" w:color="B0B8C8" w:sz="4"/>
            </w:tcBorders>
            <w:shd w:fill="F0EEF8"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Legacy</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November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2
3–7 Nov</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Jashn-e-Jazba</w:t>
            </w:r>
          </w:p>
          <w:p>
            <w:pPr>
              <w:spacing w:after="0" w:before="0"/>
            </w:pPr>
            <w:r>
              <w:rPr>
                <w:rFonts w:ascii="Arial" w:cs="Arial" w:eastAsia="Arial" w:hAnsi="Arial"/>
                <w:color w:val="1A1A2E"/>
                <w:sz w:val="18"/>
                <w:szCs w:val="18"/>
              </w:rPr>
              <w:t xml:space="preserve">Mandatory participation. Club members showcase a creative expression of the club's theme and identity.</w:t>
            </w:r>
          </w:p>
        </w:tc>
        <w:tc>
          <w:tcPr>
            <w:tcW w:type="dxa" w:w="17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President</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November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2
3–7 Nov</w:t>
            </w:r>
          </w:p>
        </w:tc>
        <w:tc>
          <w:tcPr>
            <w:tcW w:type="dxa" w:w="1100"/>
            <w:tcBorders>
              <w:top w:val="single" w:color="B0B8C8" w:sz="4"/>
              <w:left w:val="single" w:color="B0B8C8" w:sz="4"/>
              <w:bottom w:val="single" w:color="B0B8C8" w:sz="4"/>
              <w:right w:val="single" w:color="B0B8C8" w:sz="4"/>
            </w:tcBorders>
            <w:shd w:fill="F8EE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Outreach</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Inter-Club Collaboration Event</w:t>
            </w:r>
          </w:p>
          <w:p>
            <w:pPr>
              <w:spacing w:after="0" w:before="0"/>
            </w:pPr>
            <w:r>
              <w:rPr>
                <w:rFonts w:ascii="Arial" w:cs="Arial" w:eastAsia="Arial" w:hAnsi="Arial"/>
                <w:color w:val="1A1A2E"/>
                <w:sz w:val="18"/>
                <w:szCs w:val="18"/>
              </w:rPr>
              <w:t xml:space="preserve">Joint event with one other registered Ashoka club (e.g. Business Club or Entrepreneurship Club) on a shared theme. Satisfies per-appraisal-cycle collaboration requirement.</w:t>
            </w:r>
          </w:p>
        </w:tc>
        <w:tc>
          <w:tcPr>
            <w:tcW w:type="dxa" w:w="1700"/>
            <w:tcBorders>
              <w:top w:val="single" w:color="B0B8C8" w:sz="4"/>
              <w:left w:val="single" w:color="B0B8C8" w:sz="4"/>
              <w:bottom w:val="single" w:color="B0B8C8" w:sz="4"/>
              <w:right w:val="single" w:color="B0B8C8" w:sz="4"/>
            </w:tcBorders>
            <w:shd w:fill="F8EE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Outreach</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November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3
10–14 Nov</w:t>
            </w:r>
          </w:p>
        </w:tc>
        <w:tc>
          <w:tcPr>
            <w:tcW w:type="dxa" w:w="1100"/>
            <w:tcBorders>
              <w:top w:val="single" w:color="B0B8C8" w:sz="4"/>
              <w:left w:val="single" w:color="B0B8C8" w:sz="4"/>
              <w:bottom w:val="single" w:color="B0B8C8" w:sz="4"/>
              <w:right w:val="single" w:color="B0B8C8" w:sz="4"/>
            </w:tcBorders>
            <w:shd w:fill="EEF5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Innovation</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Research Showcase — Family Business in India</w:t>
            </w:r>
          </w:p>
          <w:p>
            <w:pPr>
              <w:spacing w:after="0" w:before="0"/>
            </w:pPr>
            <w:r>
              <w:rPr>
                <w:rFonts w:ascii="Arial" w:cs="Arial" w:eastAsia="Arial" w:hAnsi="Arial"/>
                <w:color w:val="1A1A2E"/>
                <w:sz w:val="18"/>
                <w:szCs w:val="18"/>
              </w:rPr>
              <w:t xml:space="preserve">Members present short research pieces or opinion essays on family enterprise trends. First iteration of the club's publications initiative.</w:t>
            </w:r>
          </w:p>
        </w:tc>
        <w:tc>
          <w:tcPr>
            <w:tcW w:type="dxa" w:w="1700"/>
            <w:tcBorders>
              <w:top w:val="single" w:color="B0B8C8" w:sz="4"/>
              <w:left w:val="single" w:color="B0B8C8" w:sz="4"/>
              <w:bottom w:val="single" w:color="B0B8C8" w:sz="4"/>
              <w:right w:val="single" w:color="B0B8C8" w:sz="4"/>
            </w:tcBorders>
            <w:shd w:fill="EEF5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Innovation</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November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4
17–21 Nov</w:t>
            </w:r>
          </w:p>
        </w:tc>
        <w:tc>
          <w:tcPr>
            <w:tcW w:type="dxa" w:w="1100"/>
            <w:tcBorders>
              <w:top w:val="single" w:color="B0B8C8" w:sz="4"/>
              <w:left w:val="single" w:color="B0B8C8" w:sz="4"/>
              <w:bottom w:val="single" w:color="B0B8C8" w:sz="4"/>
              <w:right w:val="single" w:color="B0B8C8" w:sz="4"/>
            </w:tcBorders>
            <w:shd w:fill="F8EE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Outreach</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Speaker Series — Session 2</w:t>
            </w:r>
          </w:p>
          <w:p>
            <w:pPr>
              <w:spacing w:after="0" w:before="0"/>
            </w:pPr>
            <w:r>
              <w:rPr>
                <w:rFonts w:ascii="Arial" w:cs="Arial" w:eastAsia="Arial" w:hAnsi="Arial"/>
                <w:color w:val="1A1A2E"/>
                <w:sz w:val="18"/>
                <w:szCs w:val="18"/>
              </w:rPr>
              <w:t xml:space="preserve">Second termly speaker. Focus on a professional manager (non-family) who has led or advised a major Indian family business.</w:t>
            </w:r>
          </w:p>
        </w:tc>
        <w:tc>
          <w:tcPr>
            <w:tcW w:type="dxa" w:w="1700"/>
            <w:tcBorders>
              <w:top w:val="single" w:color="B0B8C8" w:sz="4"/>
              <w:left w:val="single" w:color="B0B8C8" w:sz="4"/>
              <w:bottom w:val="single" w:color="B0B8C8" w:sz="4"/>
              <w:right w:val="single" w:color="B0B8C8" w:sz="4"/>
            </w:tcBorders>
            <w:shd w:fill="F8EE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Outreach</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November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Late Nov</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Appraisal I Submission</w:t>
            </w:r>
          </w:p>
          <w:p>
            <w:pPr>
              <w:spacing w:after="0" w:before="0"/>
            </w:pPr>
            <w:r>
              <w:rPr>
                <w:rFonts w:ascii="Arial" w:cs="Arial" w:eastAsia="Arial" w:hAnsi="Arial"/>
                <w:color w:val="1A1A2E"/>
                <w:sz w:val="18"/>
                <w:szCs w:val="18"/>
              </w:rPr>
              <w:t xml:space="preserve">Full appraisal report submitted to Student Life Office covering Sep–Nov activities, membership records, financial ledger, and advisor feedback.</w:t>
            </w:r>
          </w:p>
        </w:tc>
        <w:tc>
          <w:tcPr>
            <w:tcW w:type="dxa" w:w="17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President / Treasurer</w:t>
            </w:r>
          </w:p>
        </w:tc>
      </w:tr>
    </w:tbl>
    <w:p>
      <w:pPr>
        <w:spacing w:after="0" w:before="60"/>
      </w:pPr>
      <w:r>
        <w:t xml:space="preserve"/>
      </w:r>
    </w:p>
    <w:p>
      <w:pPr>
        <w:spacing w:after="60" w:before="280"/>
      </w:pPr>
      <w:r>
        <w:rPr>
          <w:rFonts w:ascii="Georgia" w:cs="Georgia" w:eastAsia="Georgia" w:hAnsi="Georgia"/>
          <w:b/>
          <w:bCs/>
          <w:color w:val="0D1B3E"/>
          <w:sz w:val="26"/>
          <w:szCs w:val="26"/>
        </w:rPr>
        <w:t xml:space="preserve">December 2026</w:t>
      </w:r>
    </w:p>
    <w:p>
      <w:pPr>
        <w:pBdr>
          <w:bottom w:val="single" w:color="B0B8C8" w:sz="2" w:space="1"/>
        </w:pBdr>
        <w:spacing w:after="100" w:before="60"/>
      </w:pP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1100"/>
        <w:gridCol w:w="2600"/>
        <w:gridCol w:w="1260"/>
        <w:gridCol w:w="1700"/>
      </w:tblGrid>
      <w:tr>
        <w:tc>
          <w:tcPr>
            <w:tcW w:type="dxa" w:w="13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Period</w:t>
            </w:r>
          </w:p>
        </w:tc>
        <w:tc>
          <w:tcPr>
            <w:tcW w:type="dxa" w:w="11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Week</w:t>
            </w:r>
          </w:p>
        </w:tc>
        <w:tc>
          <w:tcPr>
            <w:tcW w:type="dxa" w:w="11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Vertical</w:t>
            </w:r>
          </w:p>
        </w:tc>
        <w:tc>
          <w:tcPr>
            <w:tcW w:type="dxa" w:w="386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Event &amp; Description</w:t>
            </w:r>
          </w:p>
        </w:tc>
        <w:tc>
          <w:tcPr>
            <w:tcW w:type="dxa" w:w="1700"/>
            <w:tcBorders>
              <w:top w:val="single" w:color="B0B8C8" w:sz="4"/>
              <w:left w:val="single" w:color="B0B8C8" w:sz="4"/>
              <w:bottom w:val="single" w:color="B0B8C8" w:sz="4"/>
              <w:right w:val="single" w:color="B0B8C8" w:sz="4"/>
            </w:tcBorders>
            <w:shd w:fill="0D1B3E" w:val="clear"/>
            <w:tcMar>
              <w:top w:type="dxa" w:w="90"/>
              <w:left w:type="dxa" w:w="120"/>
              <w:bottom w:type="dxa" w:w="90"/>
              <w:right w:type="dxa" w:w="120"/>
            </w:tcMar>
          </w:tcPr>
          <w:p>
            <w:pPr>
              <w:spacing w:after="0" w:before="0"/>
            </w:pPr>
            <w:r>
              <w:rPr>
                <w:rFonts w:ascii="Georgia" w:cs="Georgia" w:eastAsia="Georgia" w:hAnsi="Georgia"/>
                <w:b/>
                <w:bCs/>
                <w:color w:val="FFFFFF"/>
                <w:sz w:val="18"/>
                <w:szCs w:val="18"/>
              </w:rPr>
              <w:t xml:space="preserve">Lead</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December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1
1–5 Dec</w:t>
            </w:r>
          </w:p>
        </w:tc>
        <w:tc>
          <w:tcPr>
            <w:tcW w:type="dxa" w:w="1100"/>
            <w:tcBorders>
              <w:top w:val="single" w:color="B0B8C8" w:sz="4"/>
              <w:left w:val="single" w:color="B0B8C8" w:sz="4"/>
              <w:bottom w:val="single" w:color="B0B8C8" w:sz="4"/>
              <w:right w:val="single" w:color="B0B8C8" w:sz="4"/>
            </w:tcBorders>
            <w:shd w:fill="EEF0F8"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Governance</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Annual 'State of Family Business in India'</w:t>
            </w:r>
          </w:p>
          <w:p>
            <w:pPr>
              <w:spacing w:after="0" w:before="0"/>
            </w:pPr>
            <w:r>
              <w:rPr>
                <w:rFonts w:ascii="Arial" w:cs="Arial" w:eastAsia="Arial" w:hAnsi="Arial"/>
                <w:color w:val="1A1A2E"/>
                <w:sz w:val="18"/>
                <w:szCs w:val="18"/>
              </w:rPr>
              <w:t xml:space="preserve">Data-driven session on sector trends, governance developments, and generational transitions. External data sources + member-led presentation.</w:t>
            </w:r>
          </w:p>
        </w:tc>
        <w:tc>
          <w:tcPr>
            <w:tcW w:type="dxa" w:w="1700"/>
            <w:tcBorders>
              <w:top w:val="single" w:color="B0B8C8" w:sz="4"/>
              <w:left w:val="single" w:color="B0B8C8" w:sz="4"/>
              <w:bottom w:val="single" w:color="B0B8C8" w:sz="4"/>
              <w:right w:val="single" w:color="B0B8C8" w:sz="4"/>
            </w:tcBorders>
            <w:shd w:fill="EEF0F8"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Governance</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December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2
8–12 Dec</w:t>
            </w:r>
          </w:p>
        </w:tc>
        <w:tc>
          <w:tcPr>
            <w:tcW w:type="dxa" w:w="1100"/>
            <w:tcBorders>
              <w:top w:val="single" w:color="B0B8C8" w:sz="4"/>
              <w:left w:val="single" w:color="B0B8C8" w:sz="4"/>
              <w:bottom w:val="single" w:color="B0B8C8" w:sz="4"/>
              <w:right w:val="single" w:color="B0B8C8" w:sz="4"/>
            </w:tcBorders>
            <w:shd w:fill="FFF8EE"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Community</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Mentor Check-In &amp; Mid-Year Reflection</w:t>
            </w:r>
          </w:p>
          <w:p>
            <w:pPr>
              <w:spacing w:after="0" w:before="0"/>
            </w:pPr>
            <w:r>
              <w:rPr>
                <w:rFonts w:ascii="Arial" w:cs="Arial" w:eastAsia="Arial" w:hAnsi="Arial"/>
                <w:color w:val="1A1A2E"/>
                <w:sz w:val="18"/>
                <w:szCs w:val="18"/>
              </w:rPr>
              <w:t xml:space="preserve">Mentorship pairs reconvene for a structured mid-year review. General body reflection session on Semester 1 programming.</w:t>
            </w:r>
          </w:p>
        </w:tc>
        <w:tc>
          <w:tcPr>
            <w:tcW w:type="dxa" w:w="1700"/>
            <w:tcBorders>
              <w:top w:val="single" w:color="B0B8C8" w:sz="4"/>
              <w:left w:val="single" w:color="B0B8C8" w:sz="4"/>
              <w:bottom w:val="single" w:color="B0B8C8" w:sz="4"/>
              <w:right w:val="single" w:color="B0B8C8" w:sz="4"/>
            </w:tcBorders>
            <w:shd w:fill="FFF8EE"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Community</w:t>
            </w:r>
          </w:p>
        </w:tc>
      </w:tr>
      <w:tr>
        <w:tc>
          <w:tcPr>
            <w:tcW w:type="dxa" w:w="13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December 2026</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2
8–12 Dec</w:t>
            </w:r>
          </w:p>
        </w:tc>
        <w:tc>
          <w:tcPr>
            <w:tcW w:type="dxa" w:w="1100"/>
            <w:tcBorders>
              <w:top w:val="single" w:color="B0B8C8" w:sz="4"/>
              <w:left w:val="single" w:color="B0B8C8" w:sz="4"/>
              <w:bottom w:val="single" w:color="B0B8C8" w:sz="4"/>
              <w:right w:val="single" w:color="B0B8C8" w:sz="4"/>
            </w:tcBorders>
            <w:shd w:fill="F0EEF8"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Legacy</w:t>
            </w:r>
          </w:p>
        </w:tc>
        <w:tc>
          <w:tcPr>
            <w:tcW w:type="dxa" w:w="386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NextGen Dialogue 2</w:t>
            </w:r>
          </w:p>
          <w:p>
            <w:pPr>
              <w:spacing w:after="0" w:before="0"/>
            </w:pPr>
            <w:r>
              <w:rPr>
                <w:rFonts w:ascii="Arial" w:cs="Arial" w:eastAsia="Arial" w:hAnsi="Arial"/>
                <w:color w:val="1A1A2E"/>
                <w:sz w:val="18"/>
                <w:szCs w:val="18"/>
              </w:rPr>
              <w:t xml:space="preserve">Second intimate dialogue session. Year-end format — slightly longer, alumni-facing.</w:t>
            </w:r>
          </w:p>
        </w:tc>
        <w:tc>
          <w:tcPr>
            <w:tcW w:type="dxa" w:w="1700"/>
            <w:tcBorders>
              <w:top w:val="single" w:color="B0B8C8" w:sz="4"/>
              <w:left w:val="single" w:color="B0B8C8" w:sz="4"/>
              <w:bottom w:val="single" w:color="B0B8C8" w:sz="4"/>
              <w:right w:val="single" w:color="B0B8C8" w:sz="4"/>
            </w:tcBorders>
            <w:shd w:fill="F0EEF8"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Legacy</w:t>
            </w:r>
          </w:p>
        </w:tc>
      </w:tr>
      <w:tr>
        <w:tc>
          <w:tcPr>
            <w:tcW w:type="dxa" w:w="13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b w:val="false"/>
                <w:bCs w:val="false"/>
                <w:color w:val="8A9BB5"/>
                <w:sz w:val="18"/>
                <w:szCs w:val="18"/>
              </w:rPr>
              <w:t xml:space="preserve">December 2026</w:t>
            </w:r>
          </w:p>
        </w:tc>
        <w:tc>
          <w:tcPr>
            <w:tcW w:type="dxa" w:w="110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Week 3
15–19 Dec</w:t>
            </w:r>
          </w:p>
        </w:tc>
        <w:tc>
          <w:tcPr>
            <w:tcW w:type="dxa" w:w="11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b/>
                <w:bCs/>
                <w:color w:val="0D1B3E"/>
                <w:sz w:val="18"/>
                <w:szCs w:val="18"/>
              </w:rPr>
              <w:t xml:space="preserve">—</w:t>
            </w:r>
          </w:p>
        </w:tc>
        <w:tc>
          <w:tcPr>
            <w:tcW w:type="dxa" w:w="3860"/>
            <w:tcBorders>
              <w:top w:val="single" w:color="B0B8C8" w:sz="4"/>
              <w:left w:val="single" w:color="B0B8C8" w:sz="4"/>
              <w:bottom w:val="single" w:color="B0B8C8" w:sz="4"/>
              <w:right w:val="single" w:color="B0B8C8" w:sz="4"/>
            </w:tcBorders>
            <w:shd w:fill="FFFFFF" w:val="clear"/>
            <w:tcMar>
              <w:top w:type="dxa" w:w="90"/>
              <w:left w:type="dxa" w:w="120"/>
              <w:bottom w:type="dxa" w:w="90"/>
              <w:right w:type="dxa" w:w="120"/>
            </w:tcMar>
          </w:tcPr>
          <w:p>
            <w:pPr>
              <w:spacing w:after="30" w:before="0"/>
            </w:pPr>
            <w:r>
              <w:rPr>
                <w:rFonts w:ascii="Arial" w:cs="Arial" w:eastAsia="Arial" w:hAnsi="Arial"/>
                <w:b/>
                <w:bCs/>
                <w:color w:val="0D1B3E"/>
                <w:sz w:val="19"/>
                <w:szCs w:val="19"/>
              </w:rPr>
              <w:t xml:space="preserve">End-of-Semester Review &amp; Planning</w:t>
            </w:r>
          </w:p>
          <w:p>
            <w:pPr>
              <w:spacing w:after="0" w:before="0"/>
            </w:pPr>
            <w:r>
              <w:rPr>
                <w:rFonts w:ascii="Arial" w:cs="Arial" w:eastAsia="Arial" w:hAnsi="Arial"/>
                <w:color w:val="1A1A2E"/>
                <w:sz w:val="18"/>
                <w:szCs w:val="18"/>
              </w:rPr>
              <w:t xml:space="preserve">Internal leadership meeting: review of Semester 1, feedback consolidation, and early planning for Semester 2 (Jan–Apr 2027).</w:t>
            </w:r>
          </w:p>
        </w:tc>
        <w:tc>
          <w:tcPr>
            <w:tcW w:type="dxa" w:w="1700"/>
            <w:tcBorders>
              <w:top w:val="single" w:color="B0B8C8" w:sz="4"/>
              <w:left w:val="single" w:color="B0B8C8" w:sz="4"/>
              <w:bottom w:val="single" w:color="B0B8C8" w:sz="4"/>
              <w:right w:val="single" w:color="B0B8C8" w:sz="4"/>
            </w:tcBorders>
            <w:shd w:fill="E8ECF2" w:val="clear"/>
            <w:tcMar>
              <w:top w:type="dxa" w:w="90"/>
              <w:left w:type="dxa" w:w="120"/>
              <w:bottom w:type="dxa" w:w="90"/>
              <w:right w:type="dxa" w:w="120"/>
            </w:tcMar>
            <w:vAlign w:val="top"/>
          </w:tcPr>
          <w:p>
            <w:pPr>
              <w:spacing w:after="0" w:before="0"/>
            </w:pPr>
            <w:r>
              <w:rPr>
                <w:rFonts w:ascii="Arial" w:cs="Arial" w:eastAsia="Arial" w:hAnsi="Arial"/>
                <w:color w:val="1A1A2E"/>
                <w:sz w:val="18"/>
                <w:szCs w:val="18"/>
              </w:rPr>
              <w:t xml:space="preserve">President</w:t>
            </w:r>
          </w:p>
        </w:tc>
      </w:tr>
    </w:tbl>
    <w:p>
      <w:pPr>
        <w:spacing w:after="0" w:before="60"/>
      </w:pPr>
      <w:r>
        <w:t xml:space="preserve"/>
      </w:r>
    </w:p>
    <w:p>
      <w:pPr>
        <w:spacing w:after="0" w:before="80"/>
      </w:pPr>
      <w:r>
        <w:t xml:space="preserve"/>
      </w:r>
    </w:p>
    <w:p>
      <w:pPr>
        <w:pBdr>
          <w:top w:val="single" w:color="B0B8C8" w:sz="4" w:space="4"/>
        </w:pBdr>
        <w:spacing w:after="0" w:before="160"/>
        <w:jc w:val="center"/>
      </w:pPr>
      <w:r>
        <w:rPr>
          <w:rFonts w:ascii="Georgia" w:cs="Georgia" w:eastAsia="Georgia" w:hAnsi="Georgia"/>
          <w:i/>
          <w:iCs/>
          <w:color w:val="8A9BB5"/>
          <w:sz w:val="17"/>
          <w:szCs w:val="17"/>
        </w:rPr>
        <w:t xml:space="preserve">Ashoka NextGen Leaders  ·  Year 1 Programming Calendar  ·  April 2026</w:t>
      </w:r>
    </w:p>
    <w:sectPr>
      <w:headerReference w:type="default" r:id="rId7"/>
      <w:footerReference w:type="default" r:id="rId8"/>
      <w:pgSz w:w="11906" w:h="16838" w:orient="portrait"/>
      <w:pgMar w:top="1200" w:right="1280" w:bottom="1200" w:left="12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0B8C8" w:sz="4" w:space="4"/>
      </w:pBdr>
      <w:tabs>
        <w:tab w:val="right" w:pos="8946"/>
      </w:tabs>
      <w:spacing w:after="0" w:before="80"/>
    </w:pPr>
    <w:r>
      <w:rPr>
        <w:rFonts w:ascii="Arial" w:cs="Arial" w:eastAsia="Arial" w:hAnsi="Arial"/>
        <w:color w:val="8A9BB5"/>
        <w:sz w:val="15"/>
        <w:szCs w:val="15"/>
      </w:rPr>
      <w:t xml:space="preserve">Programming Calendar · 2026–27</w:t>
    </w:r>
    <w:r>
      <w:rPr>
        <w:rFonts w:ascii="Arial" w:cs="Arial" w:eastAsia="Arial" w:hAnsi="Arial"/>
        <w:i/>
        <w:iCs/>
        <w:color w:val="8A9BB5"/>
        <w:sz w:val="15"/>
        <w:szCs w:val="15"/>
      </w:rPr>
      <w:t xml:space="preserve">	Suryansh Dalmia &amp; Madhav Wadhwani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D1B3E" w:sz="5" w:space="4"/>
      </w:pBdr>
      <w:tabs>
        <w:tab w:val="right" w:pos="8946"/>
      </w:tabs>
      <w:spacing w:after="100" w:before="0"/>
    </w:pPr>
    <w:r>
      <w:rPr>
        <w:rFonts w:ascii="Georgia" w:cs="Georgia" w:eastAsia="Georgia" w:hAnsi="Georgia"/>
        <w:b/>
        <w:bCs/>
        <w:color w:val="0D1B3E"/>
        <w:sz w:val="18"/>
        <w:szCs w:val="18"/>
      </w:rPr>
      <w:t xml:space="preserve">Ashoka NextGen Leaders</w:t>
    </w:r>
    <w:r>
      <w:rPr>
        <w:rFonts w:ascii="Arial" w:cs="Arial" w:eastAsia="Arial" w:hAnsi="Arial"/>
        <w:i/>
        <w:iCs/>
        <w:color w:val="8A9BB5"/>
        <w:sz w:val="17"/>
        <w:szCs w:val="17"/>
      </w:rPr>
      <w:t xml:space="preserve">	Year 1 Programming Calendar  ·  April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50" w:before="50"/>
        <w:ind w:left="600" w:hanging="300"/>
      </w:pPr>
      <w:rPr>
        <w:rFonts w:ascii="Arial" w:cs="Arial" w:eastAsia="Arial" w:hAnsi="Arial"/>
        <w:color w:val="0D1B3E"/>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fbdbffd70971d01676413d0fc9830729eaf8e4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2026-04-21T05:22:45.927Z</dcterms:created>
  <dcterms:modified xsi:type="dcterms:W3CDTF">2026-04-21T05:22:45.927Z</dcterms:modified>
</cp:coreProperties>
</file>

<file path=docProps/custom.xml><?xml version="1.0" encoding="utf-8"?>
<Properties xmlns="http://schemas.openxmlformats.org/officeDocument/2006/custom-properties" xmlns:vt="http://schemas.openxmlformats.org/officeDocument/2006/docPropsVTypes"/>
</file>